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EE" w:rsidRPr="00485AD8" w:rsidRDefault="00AF43EE" w:rsidP="00217C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 Unicode MS" w:hAnsiTheme="minorHAnsi" w:cstheme="minorHAnsi"/>
          <w:b/>
          <w:sz w:val="24"/>
        </w:rPr>
      </w:pPr>
      <w:r w:rsidRPr="00485AD8">
        <w:rPr>
          <w:rFonts w:asciiTheme="minorHAnsi" w:eastAsia="Arial Unicode MS" w:hAnsiTheme="minorHAnsi" w:cstheme="minorHAnsi"/>
          <w:b/>
          <w:sz w:val="24"/>
        </w:rPr>
        <w:t xml:space="preserve">IFN-gamma (IFNγ), </w:t>
      </w:r>
      <w:r w:rsidR="00B134CA" w:rsidRPr="00485AD8">
        <w:rPr>
          <w:rFonts w:asciiTheme="minorHAnsi" w:eastAsia="Arial Unicode MS" w:hAnsiTheme="minorHAnsi" w:cstheme="minorHAnsi"/>
          <w:b/>
          <w:sz w:val="24"/>
        </w:rPr>
        <w:t xml:space="preserve">chemochine </w:t>
      </w:r>
      <w:r w:rsidRPr="00485AD8">
        <w:rPr>
          <w:rFonts w:asciiTheme="minorHAnsi" w:eastAsia="Arial Unicode MS" w:hAnsiTheme="minorHAnsi" w:cstheme="minorHAnsi"/>
          <w:b/>
          <w:sz w:val="24"/>
        </w:rPr>
        <w:t>IFNγ-</w:t>
      </w:r>
      <w:r w:rsidR="00B134CA" w:rsidRPr="00485AD8">
        <w:rPr>
          <w:rFonts w:asciiTheme="minorHAnsi" w:eastAsia="Arial Unicode MS" w:hAnsiTheme="minorHAnsi" w:cstheme="minorHAnsi"/>
          <w:b/>
          <w:sz w:val="24"/>
        </w:rPr>
        <w:t xml:space="preserve">indotte e altri biomarcatori nella </w:t>
      </w:r>
      <w:r w:rsidR="00DF2A8B" w:rsidRPr="00485AD8">
        <w:rPr>
          <w:rFonts w:asciiTheme="minorHAnsi" w:eastAsia="Arial Unicode MS" w:hAnsiTheme="minorHAnsi" w:cstheme="minorHAnsi"/>
          <w:b/>
          <w:sz w:val="24"/>
        </w:rPr>
        <w:t>si</w:t>
      </w:r>
      <w:r w:rsidR="00B134CA" w:rsidRPr="00485AD8">
        <w:rPr>
          <w:rFonts w:asciiTheme="minorHAnsi" w:eastAsia="Arial Unicode MS" w:hAnsiTheme="minorHAnsi" w:cstheme="minorHAnsi"/>
          <w:b/>
          <w:sz w:val="24"/>
        </w:rPr>
        <w:t xml:space="preserve">ndrome d’attivazione macrofagica </w:t>
      </w:r>
      <w:r w:rsidRPr="00485AD8">
        <w:rPr>
          <w:rFonts w:asciiTheme="minorHAnsi" w:eastAsia="Arial Unicode MS" w:hAnsiTheme="minorHAnsi" w:cstheme="minorHAnsi"/>
          <w:b/>
          <w:sz w:val="24"/>
        </w:rPr>
        <w:t>(MAS)</w:t>
      </w:r>
    </w:p>
    <w:p w:rsidR="00D26CAC" w:rsidRPr="00485AD8" w:rsidRDefault="00D26CAC" w:rsidP="00217C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 Unicode MS" w:hAnsiTheme="minorHAnsi" w:cstheme="minorHAnsi"/>
          <w:b/>
          <w:sz w:val="24"/>
        </w:rPr>
      </w:pPr>
    </w:p>
    <w:p w:rsidR="00D26CAC" w:rsidRPr="00485AD8" w:rsidRDefault="00472603" w:rsidP="00217C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 Unicode MS" w:hAnsiTheme="minorHAnsi" w:cstheme="minorHAnsi"/>
          <w:sz w:val="24"/>
        </w:rPr>
      </w:pPr>
      <w:r w:rsidRPr="00485AD8">
        <w:rPr>
          <w:rFonts w:asciiTheme="minorHAnsi" w:eastAsia="Arial Unicode MS" w:hAnsiTheme="minorHAnsi" w:cstheme="minorHAnsi"/>
          <w:sz w:val="24"/>
        </w:rPr>
        <w:t xml:space="preserve">Claudia </w:t>
      </w:r>
      <w:r w:rsidRPr="00485AD8">
        <w:rPr>
          <w:rFonts w:asciiTheme="minorHAnsi" w:hAnsiTheme="minorHAnsi" w:cstheme="minorHAnsi"/>
          <w:sz w:val="24"/>
        </w:rPr>
        <w:t>Bracaglia</w:t>
      </w: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* 1</w:t>
      </w:r>
      <w:r w:rsidRPr="00485AD8">
        <w:rPr>
          <w:rFonts w:asciiTheme="minorHAnsi" w:eastAsia="Arial Unicode MS" w:hAnsiTheme="minorHAnsi" w:cstheme="minorHAnsi"/>
          <w:sz w:val="24"/>
        </w:rPr>
        <w:t xml:space="preserve">, Denise </w:t>
      </w:r>
      <w:r w:rsidRPr="00485AD8">
        <w:rPr>
          <w:rFonts w:asciiTheme="minorHAnsi" w:hAnsiTheme="minorHAnsi" w:cstheme="minorHAnsi"/>
          <w:sz w:val="24"/>
        </w:rPr>
        <w:t>Pires Marafon</w:t>
      </w: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1</w:t>
      </w:r>
      <w:r w:rsidRPr="00485AD8">
        <w:rPr>
          <w:rFonts w:asciiTheme="minorHAnsi" w:eastAsia="Arial Unicode MS" w:hAnsiTheme="minorHAnsi" w:cstheme="minorHAnsi"/>
          <w:sz w:val="24"/>
        </w:rPr>
        <w:t xml:space="preserve">, Ivan </w:t>
      </w:r>
      <w:r w:rsidRPr="00485AD8">
        <w:rPr>
          <w:rFonts w:asciiTheme="minorHAnsi" w:hAnsiTheme="minorHAnsi" w:cstheme="minorHAnsi"/>
          <w:sz w:val="24"/>
        </w:rPr>
        <w:t>Caiello</w:t>
      </w: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1</w:t>
      </w:r>
      <w:r w:rsidRPr="00485AD8">
        <w:rPr>
          <w:rFonts w:asciiTheme="minorHAnsi" w:eastAsia="Arial Unicode MS" w:hAnsiTheme="minorHAnsi" w:cstheme="minorHAnsi"/>
          <w:sz w:val="24"/>
        </w:rPr>
        <w:t xml:space="preserve">, Kathy </w:t>
      </w:r>
      <w:r w:rsidRPr="00485AD8">
        <w:rPr>
          <w:rFonts w:asciiTheme="minorHAnsi" w:hAnsiTheme="minorHAnsi" w:cstheme="minorHAnsi"/>
          <w:sz w:val="24"/>
        </w:rPr>
        <w:t>de Graaf</w:t>
      </w: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2</w:t>
      </w:r>
      <w:r w:rsidRPr="00485AD8">
        <w:rPr>
          <w:rFonts w:asciiTheme="minorHAnsi" w:eastAsia="Arial Unicode MS" w:hAnsiTheme="minorHAnsi" w:cstheme="minorHAnsi"/>
          <w:sz w:val="24"/>
        </w:rPr>
        <w:t xml:space="preserve">, Florence </w:t>
      </w:r>
      <w:r w:rsidRPr="00485AD8">
        <w:rPr>
          <w:rFonts w:asciiTheme="minorHAnsi" w:hAnsiTheme="minorHAnsi" w:cstheme="minorHAnsi"/>
          <w:sz w:val="24"/>
        </w:rPr>
        <w:t>Guilhot</w:t>
      </w: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2</w:t>
      </w:r>
      <w:r w:rsidRPr="00485AD8">
        <w:rPr>
          <w:rFonts w:asciiTheme="minorHAnsi" w:eastAsia="Arial Unicode MS" w:hAnsiTheme="minorHAnsi" w:cstheme="minorHAnsi"/>
          <w:sz w:val="24"/>
        </w:rPr>
        <w:t xml:space="preserve">, Walter </w:t>
      </w:r>
      <w:r w:rsidRPr="00485AD8">
        <w:rPr>
          <w:rFonts w:asciiTheme="minorHAnsi" w:hAnsiTheme="minorHAnsi" w:cstheme="minorHAnsi"/>
          <w:sz w:val="24"/>
        </w:rPr>
        <w:t>Ferlin</w:t>
      </w: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2</w:t>
      </w:r>
      <w:r w:rsidRPr="00485AD8">
        <w:rPr>
          <w:rFonts w:asciiTheme="minorHAnsi" w:eastAsia="Arial Unicode MS" w:hAnsiTheme="minorHAnsi" w:cstheme="minorHAnsi"/>
          <w:sz w:val="24"/>
        </w:rPr>
        <w:t xml:space="preserve">, Sergio </w:t>
      </w:r>
      <w:r w:rsidRPr="00485AD8">
        <w:rPr>
          <w:rFonts w:asciiTheme="minorHAnsi" w:hAnsiTheme="minorHAnsi" w:cstheme="minorHAnsi"/>
          <w:sz w:val="24"/>
        </w:rPr>
        <w:t>Davi'</w:t>
      </w: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3</w:t>
      </w:r>
      <w:r w:rsidRPr="00485AD8">
        <w:rPr>
          <w:rFonts w:asciiTheme="minorHAnsi" w:eastAsia="Arial Unicode MS" w:hAnsiTheme="minorHAnsi" w:cstheme="minorHAnsi"/>
          <w:sz w:val="24"/>
        </w:rPr>
        <w:t xml:space="preserve">, Grant </w:t>
      </w:r>
      <w:r w:rsidRPr="00485AD8">
        <w:rPr>
          <w:rFonts w:asciiTheme="minorHAnsi" w:hAnsiTheme="minorHAnsi" w:cstheme="minorHAnsi"/>
          <w:sz w:val="24"/>
        </w:rPr>
        <w:t>Schulert</w:t>
      </w: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4</w:t>
      </w:r>
      <w:r w:rsidRPr="00485AD8">
        <w:rPr>
          <w:rFonts w:asciiTheme="minorHAnsi" w:eastAsia="Arial Unicode MS" w:hAnsiTheme="minorHAnsi" w:cstheme="minorHAnsi"/>
          <w:sz w:val="24"/>
        </w:rPr>
        <w:t xml:space="preserve">, Angelo </w:t>
      </w:r>
      <w:r w:rsidRPr="00485AD8">
        <w:rPr>
          <w:rFonts w:asciiTheme="minorHAnsi" w:hAnsiTheme="minorHAnsi" w:cstheme="minorHAnsi"/>
          <w:sz w:val="24"/>
        </w:rPr>
        <w:t>Ravelli</w:t>
      </w: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3</w:t>
      </w:r>
      <w:r w:rsidRPr="00485AD8">
        <w:rPr>
          <w:rFonts w:asciiTheme="minorHAnsi" w:eastAsia="Arial Unicode MS" w:hAnsiTheme="minorHAnsi" w:cstheme="minorHAnsi"/>
          <w:sz w:val="24"/>
        </w:rPr>
        <w:t>, Alex</w:t>
      </w:r>
      <w:r w:rsidR="00B71241" w:rsidRPr="00485AD8">
        <w:rPr>
          <w:rFonts w:asciiTheme="minorHAnsi" w:eastAsia="Arial Unicode MS" w:hAnsiTheme="minorHAnsi" w:cstheme="minorHAnsi"/>
          <w:sz w:val="24"/>
        </w:rPr>
        <w:t>e</w:t>
      </w:r>
      <w:r w:rsidRPr="00485AD8">
        <w:rPr>
          <w:rFonts w:asciiTheme="minorHAnsi" w:eastAsia="Arial Unicode MS" w:hAnsiTheme="minorHAnsi" w:cstheme="minorHAnsi"/>
          <w:sz w:val="24"/>
        </w:rPr>
        <w:t xml:space="preserve">i A. </w:t>
      </w:r>
      <w:r w:rsidRPr="00485AD8">
        <w:rPr>
          <w:rFonts w:asciiTheme="minorHAnsi" w:hAnsiTheme="minorHAnsi" w:cstheme="minorHAnsi"/>
          <w:sz w:val="24"/>
        </w:rPr>
        <w:t>Grom</w:t>
      </w: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4</w:t>
      </w:r>
      <w:r w:rsidRPr="00485AD8">
        <w:rPr>
          <w:rFonts w:asciiTheme="minorHAnsi" w:eastAsia="Arial Unicode MS" w:hAnsiTheme="minorHAnsi" w:cstheme="minorHAnsi"/>
          <w:sz w:val="24"/>
        </w:rPr>
        <w:t xml:space="preserve">, Robert </w:t>
      </w:r>
      <w:r w:rsidRPr="00485AD8">
        <w:rPr>
          <w:rFonts w:asciiTheme="minorHAnsi" w:hAnsiTheme="minorHAnsi" w:cstheme="minorHAnsi"/>
          <w:sz w:val="24"/>
        </w:rPr>
        <w:t>Nelson</w:t>
      </w: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2</w:t>
      </w:r>
      <w:r w:rsidRPr="00485AD8">
        <w:rPr>
          <w:rFonts w:asciiTheme="minorHAnsi" w:eastAsia="Arial Unicode MS" w:hAnsiTheme="minorHAnsi" w:cstheme="minorHAnsi"/>
          <w:sz w:val="24"/>
        </w:rPr>
        <w:t xml:space="preserve">, Cristina </w:t>
      </w:r>
      <w:r w:rsidRPr="00485AD8">
        <w:rPr>
          <w:rFonts w:asciiTheme="minorHAnsi" w:hAnsiTheme="minorHAnsi" w:cstheme="minorHAnsi"/>
          <w:sz w:val="24"/>
        </w:rPr>
        <w:t>de Min</w:t>
      </w: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2</w:t>
      </w:r>
      <w:r w:rsidRPr="00485AD8">
        <w:rPr>
          <w:rFonts w:asciiTheme="minorHAnsi" w:eastAsia="Arial Unicode MS" w:hAnsiTheme="minorHAnsi" w:cstheme="minorHAnsi"/>
          <w:sz w:val="24"/>
        </w:rPr>
        <w:t>, Fabrizio</w:t>
      </w:r>
      <w:r w:rsidR="00D20B9B">
        <w:rPr>
          <w:rFonts w:asciiTheme="minorHAnsi" w:eastAsia="Arial Unicode MS" w:hAnsiTheme="minorHAnsi" w:cstheme="minorHAnsi"/>
          <w:sz w:val="24"/>
        </w:rPr>
        <w:t xml:space="preserve"> </w:t>
      </w:r>
      <w:r w:rsidRPr="00485AD8">
        <w:rPr>
          <w:rFonts w:asciiTheme="minorHAnsi" w:hAnsiTheme="minorHAnsi" w:cstheme="minorHAnsi"/>
          <w:sz w:val="24"/>
        </w:rPr>
        <w:t>De Benedetti</w:t>
      </w: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1</w:t>
      </w:r>
    </w:p>
    <w:p w:rsidR="00DF2A8B" w:rsidRPr="00485AD8" w:rsidRDefault="00472603" w:rsidP="00E142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 Unicode MS" w:hAnsiTheme="minorHAnsi" w:cstheme="minorHAnsi"/>
          <w:sz w:val="24"/>
        </w:rPr>
      </w:pP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1</w:t>
      </w:r>
      <w:r w:rsidR="00DF2A8B" w:rsidRPr="00485AD8">
        <w:rPr>
          <w:rFonts w:asciiTheme="minorHAnsi" w:eastAsia="Arial Unicode MS" w:hAnsiTheme="minorHAnsi" w:cstheme="minorHAnsi"/>
          <w:sz w:val="24"/>
        </w:rPr>
        <w:t>Unità Operativa di Reumatologia</w:t>
      </w:r>
      <w:r w:rsidRPr="00485AD8">
        <w:rPr>
          <w:rFonts w:asciiTheme="minorHAnsi" w:eastAsia="Arial Unicode MS" w:hAnsiTheme="minorHAnsi" w:cstheme="minorHAnsi"/>
          <w:sz w:val="24"/>
        </w:rPr>
        <w:t xml:space="preserve">, </w:t>
      </w:r>
      <w:r w:rsidR="00DF2A8B" w:rsidRPr="00485AD8">
        <w:rPr>
          <w:rFonts w:asciiTheme="minorHAnsi" w:eastAsia="Arial Unicode MS" w:hAnsiTheme="minorHAnsi" w:cstheme="minorHAnsi"/>
          <w:sz w:val="24"/>
        </w:rPr>
        <w:t xml:space="preserve">IRCCS </w:t>
      </w:r>
      <w:r w:rsidRPr="00485AD8">
        <w:rPr>
          <w:rFonts w:asciiTheme="minorHAnsi" w:eastAsia="Arial Unicode MS" w:hAnsiTheme="minorHAnsi" w:cstheme="minorHAnsi"/>
          <w:sz w:val="24"/>
        </w:rPr>
        <w:t>O</w:t>
      </w:r>
      <w:r w:rsidR="00DF2A8B" w:rsidRPr="00485AD8">
        <w:rPr>
          <w:rFonts w:asciiTheme="minorHAnsi" w:eastAsia="Arial Unicode MS" w:hAnsiTheme="minorHAnsi" w:cstheme="minorHAnsi"/>
          <w:sz w:val="24"/>
        </w:rPr>
        <w:t>spedale Pediatrico Bambino Gesù</w:t>
      </w:r>
      <w:r w:rsidRPr="00485AD8">
        <w:rPr>
          <w:rFonts w:asciiTheme="minorHAnsi" w:eastAsia="Arial Unicode MS" w:hAnsiTheme="minorHAnsi" w:cstheme="minorHAnsi"/>
          <w:sz w:val="24"/>
        </w:rPr>
        <w:t xml:space="preserve">, Roma </w:t>
      </w:r>
    </w:p>
    <w:p w:rsidR="00DF2A8B" w:rsidRPr="00485AD8" w:rsidRDefault="00472603" w:rsidP="00E142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 Unicode MS" w:hAnsiTheme="minorHAnsi" w:cstheme="minorHAnsi"/>
          <w:sz w:val="24"/>
        </w:rPr>
      </w:pP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2</w:t>
      </w:r>
      <w:r w:rsidRPr="00485AD8">
        <w:rPr>
          <w:rFonts w:asciiTheme="minorHAnsi" w:eastAsia="Arial Unicode MS" w:hAnsiTheme="minorHAnsi" w:cstheme="minorHAnsi"/>
          <w:sz w:val="24"/>
        </w:rPr>
        <w:t>SA Novimmune, G</w:t>
      </w:r>
      <w:r w:rsidR="00DF2A8B" w:rsidRPr="00485AD8">
        <w:rPr>
          <w:rFonts w:asciiTheme="minorHAnsi" w:eastAsia="Arial Unicode MS" w:hAnsiTheme="minorHAnsi" w:cstheme="minorHAnsi"/>
          <w:sz w:val="24"/>
        </w:rPr>
        <w:t>inevra</w:t>
      </w:r>
      <w:r w:rsidRPr="00485AD8">
        <w:rPr>
          <w:rFonts w:asciiTheme="minorHAnsi" w:eastAsia="Arial Unicode MS" w:hAnsiTheme="minorHAnsi" w:cstheme="minorHAnsi"/>
          <w:sz w:val="24"/>
        </w:rPr>
        <w:t>, S</w:t>
      </w:r>
      <w:r w:rsidR="00DF2A8B" w:rsidRPr="00485AD8">
        <w:rPr>
          <w:rFonts w:asciiTheme="minorHAnsi" w:eastAsia="Arial Unicode MS" w:hAnsiTheme="minorHAnsi" w:cstheme="minorHAnsi"/>
          <w:sz w:val="24"/>
        </w:rPr>
        <w:t xml:space="preserve">vizzera </w:t>
      </w:r>
    </w:p>
    <w:p w:rsidR="00DF2A8B" w:rsidRPr="00485AD8" w:rsidRDefault="00472603" w:rsidP="00E142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 Unicode MS" w:hAnsiTheme="minorHAnsi" w:cstheme="minorHAnsi"/>
          <w:sz w:val="24"/>
        </w:rPr>
      </w:pP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3</w:t>
      </w:r>
      <w:r w:rsidRPr="00485AD8">
        <w:rPr>
          <w:rFonts w:asciiTheme="minorHAnsi" w:eastAsia="Arial Unicode MS" w:hAnsiTheme="minorHAnsi" w:cstheme="minorHAnsi"/>
          <w:sz w:val="24"/>
        </w:rPr>
        <w:t>Universit</w:t>
      </w:r>
      <w:r w:rsidR="00DF2A8B" w:rsidRPr="00485AD8">
        <w:rPr>
          <w:rFonts w:asciiTheme="minorHAnsi" w:eastAsia="Arial Unicode MS" w:hAnsiTheme="minorHAnsi" w:cstheme="minorHAnsi"/>
          <w:sz w:val="24"/>
        </w:rPr>
        <w:t xml:space="preserve">à di </w:t>
      </w:r>
      <w:r w:rsidRPr="00485AD8">
        <w:rPr>
          <w:rFonts w:asciiTheme="minorHAnsi" w:eastAsia="Arial Unicode MS" w:hAnsiTheme="minorHAnsi" w:cstheme="minorHAnsi"/>
          <w:sz w:val="24"/>
        </w:rPr>
        <w:t>Genova, Is</w:t>
      </w:r>
      <w:r w:rsidR="00DF2A8B" w:rsidRPr="00485AD8">
        <w:rPr>
          <w:rFonts w:asciiTheme="minorHAnsi" w:eastAsia="Arial Unicode MS" w:hAnsiTheme="minorHAnsi" w:cstheme="minorHAnsi"/>
          <w:sz w:val="24"/>
        </w:rPr>
        <w:t>tituto Giannina Gaslini, Genova</w:t>
      </w:r>
    </w:p>
    <w:p w:rsidR="00E806CC" w:rsidRPr="00485AD8" w:rsidRDefault="00472603" w:rsidP="00E142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 Unicode MS" w:hAnsiTheme="minorHAnsi" w:cstheme="minorHAnsi"/>
          <w:sz w:val="24"/>
        </w:rPr>
      </w:pPr>
      <w:r w:rsidRPr="00485AD8">
        <w:rPr>
          <w:rFonts w:asciiTheme="minorHAnsi" w:eastAsia="Arial Unicode MS" w:hAnsiTheme="minorHAnsi" w:cstheme="minorHAnsi"/>
          <w:sz w:val="24"/>
          <w:vertAlign w:val="superscript"/>
        </w:rPr>
        <w:t>4</w:t>
      </w:r>
      <w:r w:rsidRPr="00485AD8">
        <w:rPr>
          <w:rFonts w:asciiTheme="minorHAnsi" w:eastAsia="Arial Unicode MS" w:hAnsiTheme="minorHAnsi" w:cstheme="minorHAnsi"/>
          <w:sz w:val="24"/>
        </w:rPr>
        <w:t>Division of Pediatric</w:t>
      </w:r>
      <w:r w:rsidR="00DF2A8B" w:rsidRPr="00485AD8">
        <w:rPr>
          <w:rFonts w:asciiTheme="minorHAnsi" w:eastAsia="Arial Unicode MS" w:hAnsiTheme="minorHAnsi" w:cstheme="minorHAnsi"/>
          <w:sz w:val="24"/>
        </w:rPr>
        <w:t xml:space="preserve"> </w:t>
      </w:r>
      <w:r w:rsidRPr="00485AD8">
        <w:rPr>
          <w:rFonts w:asciiTheme="minorHAnsi" w:eastAsia="Arial Unicode MS" w:hAnsiTheme="minorHAnsi" w:cstheme="minorHAnsi"/>
          <w:sz w:val="24"/>
        </w:rPr>
        <w:t xml:space="preserve">Rheumatology, Cincinnati Children’s Hospital Medical Center, Ohio, </w:t>
      </w:r>
      <w:r w:rsidR="00EE6E7B" w:rsidRPr="00485AD8">
        <w:rPr>
          <w:rFonts w:asciiTheme="minorHAnsi" w:eastAsia="Arial Unicode MS" w:hAnsiTheme="minorHAnsi" w:cstheme="minorHAnsi"/>
          <w:sz w:val="24"/>
        </w:rPr>
        <w:t xml:space="preserve">Stati Uniti </w:t>
      </w:r>
    </w:p>
    <w:p w:rsidR="00EC0328" w:rsidRPr="00485AD8" w:rsidRDefault="00EC0328" w:rsidP="00E142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 Unicode MS" w:hAnsiTheme="minorHAnsi" w:cstheme="minorHAnsi"/>
          <w:sz w:val="24"/>
        </w:rPr>
      </w:pPr>
    </w:p>
    <w:p w:rsidR="0013204E" w:rsidRPr="00485AD8" w:rsidRDefault="006B18F8" w:rsidP="0013204E">
      <w:pPr>
        <w:jc w:val="both"/>
        <w:rPr>
          <w:rFonts w:asciiTheme="minorHAnsi" w:hAnsiTheme="minorHAnsi" w:cstheme="minorHAnsi"/>
          <w:sz w:val="24"/>
        </w:rPr>
      </w:pPr>
      <w:r w:rsidRPr="00485AD8">
        <w:rPr>
          <w:rFonts w:asciiTheme="minorHAnsi" w:eastAsia="Arial Unicode MS" w:hAnsiTheme="minorHAnsi" w:cstheme="minorHAnsi"/>
          <w:b/>
          <w:sz w:val="24"/>
        </w:rPr>
        <w:t>Razionale</w:t>
      </w:r>
      <w:r w:rsidR="004F520E" w:rsidRPr="00485AD8">
        <w:rPr>
          <w:rFonts w:asciiTheme="minorHAnsi" w:eastAsia="Arial Unicode MS" w:hAnsiTheme="minorHAnsi" w:cstheme="minorHAnsi"/>
          <w:b/>
          <w:sz w:val="24"/>
        </w:rPr>
        <w:t>.</w:t>
      </w:r>
      <w:r w:rsidR="00472603" w:rsidRPr="00485AD8">
        <w:rPr>
          <w:rFonts w:asciiTheme="minorHAnsi" w:eastAsia="Arial Unicode MS" w:hAnsiTheme="minorHAnsi" w:cstheme="minorHAnsi"/>
          <w:sz w:val="24"/>
        </w:rPr>
        <w:t xml:space="preserve"> </w:t>
      </w:r>
      <w:r w:rsidR="0013204E" w:rsidRPr="00485AD8">
        <w:rPr>
          <w:rFonts w:asciiTheme="minorHAnsi" w:hAnsiTheme="minorHAnsi" w:cstheme="minorHAnsi"/>
          <w:sz w:val="24"/>
        </w:rPr>
        <w:t>C’è una vasta evidenza sia in modelli animali che nei pazienti del ruolo patogenetico d</w:t>
      </w:r>
      <w:r w:rsidR="00485AD8">
        <w:rPr>
          <w:rFonts w:asciiTheme="minorHAnsi" w:hAnsiTheme="minorHAnsi" w:cstheme="minorHAnsi"/>
          <w:sz w:val="24"/>
        </w:rPr>
        <w:t xml:space="preserve">i </w:t>
      </w:r>
      <w:r w:rsidR="0013204E" w:rsidRPr="00485AD8">
        <w:rPr>
          <w:rFonts w:asciiTheme="minorHAnsi" w:hAnsiTheme="minorHAnsi" w:cstheme="minorHAnsi"/>
          <w:sz w:val="24"/>
        </w:rPr>
        <w:t xml:space="preserve">IFNγ nelle forme primarie di Linfoistiocitosi Emofagocitica (HLH). Abbiamo recentemente descritto che i livelli di IFNγ e delle chemochine IFNγ-indotte, CXCL9 e CXCL10, sono elevati nei pazienti con MAS in fase attiva nell’ambito dell’Artrite Idiopatica Giovanile </w:t>
      </w:r>
      <w:r w:rsidR="00485AD8" w:rsidRPr="00485AD8">
        <w:rPr>
          <w:rFonts w:asciiTheme="minorHAnsi" w:hAnsiTheme="minorHAnsi" w:cstheme="minorHAnsi"/>
          <w:sz w:val="24"/>
        </w:rPr>
        <w:t xml:space="preserve">sistemica </w:t>
      </w:r>
      <w:r w:rsidR="0013204E" w:rsidRPr="00485AD8">
        <w:rPr>
          <w:rFonts w:asciiTheme="minorHAnsi" w:hAnsiTheme="minorHAnsi" w:cstheme="minorHAnsi"/>
          <w:sz w:val="24"/>
        </w:rPr>
        <w:t>(AIG</w:t>
      </w:r>
      <w:r w:rsidR="00EE6E7B" w:rsidRPr="00485AD8">
        <w:rPr>
          <w:rFonts w:asciiTheme="minorHAnsi" w:hAnsiTheme="minorHAnsi" w:cstheme="minorHAnsi"/>
          <w:sz w:val="24"/>
        </w:rPr>
        <w:t>s</w:t>
      </w:r>
      <w:r w:rsidR="0013204E" w:rsidRPr="00485AD8">
        <w:rPr>
          <w:rFonts w:asciiTheme="minorHAnsi" w:hAnsiTheme="minorHAnsi" w:cstheme="minorHAnsi"/>
          <w:sz w:val="24"/>
        </w:rPr>
        <w:t>) (1).</w:t>
      </w:r>
      <w:r w:rsidR="00EE6E7B" w:rsidRPr="00485AD8">
        <w:rPr>
          <w:rFonts w:asciiTheme="minorHAnsi" w:hAnsiTheme="minorHAnsi" w:cstheme="minorHAnsi"/>
          <w:sz w:val="24"/>
        </w:rPr>
        <w:t xml:space="preserve"> </w:t>
      </w:r>
      <w:r w:rsidR="0013204E" w:rsidRPr="00485AD8">
        <w:rPr>
          <w:rFonts w:asciiTheme="minorHAnsi" w:hAnsiTheme="minorHAnsi" w:cstheme="minorHAnsi"/>
          <w:bCs/>
          <w:sz w:val="24"/>
        </w:rPr>
        <w:t>Inoltre l’osservazione indiretta di modelli murini suggerisce che</w:t>
      </w:r>
      <w:r w:rsidR="00485AD8">
        <w:rPr>
          <w:rFonts w:asciiTheme="minorHAnsi" w:hAnsiTheme="minorHAnsi" w:cstheme="minorHAnsi"/>
          <w:bCs/>
          <w:sz w:val="24"/>
        </w:rPr>
        <w:t xml:space="preserve"> </w:t>
      </w:r>
      <w:r w:rsidR="0013204E" w:rsidRPr="00485AD8">
        <w:rPr>
          <w:rFonts w:asciiTheme="minorHAnsi" w:hAnsiTheme="minorHAnsi" w:cstheme="minorHAnsi"/>
          <w:sz w:val="24"/>
        </w:rPr>
        <w:t>IFNγ</w:t>
      </w:r>
      <w:r w:rsidR="00EE6E7B" w:rsidRPr="00485AD8">
        <w:rPr>
          <w:rFonts w:asciiTheme="minorHAnsi" w:hAnsiTheme="minorHAnsi" w:cstheme="minorHAnsi"/>
          <w:sz w:val="24"/>
        </w:rPr>
        <w:t xml:space="preserve"> </w:t>
      </w:r>
      <w:r w:rsidR="0013204E" w:rsidRPr="00485AD8">
        <w:rPr>
          <w:rFonts w:asciiTheme="minorHAnsi" w:hAnsiTheme="minorHAnsi" w:cstheme="minorHAnsi"/>
          <w:sz w:val="24"/>
        </w:rPr>
        <w:t xml:space="preserve">è prodotto prevalentemente nei tessuti periferici e che i livelli sierici potrebbero essere relativamente bassi. </w:t>
      </w:r>
    </w:p>
    <w:p w:rsidR="00EE6E7B" w:rsidRPr="00485AD8" w:rsidRDefault="00EE6E7B" w:rsidP="0013204E">
      <w:pPr>
        <w:jc w:val="both"/>
        <w:rPr>
          <w:rFonts w:asciiTheme="minorHAnsi" w:hAnsiTheme="minorHAnsi" w:cstheme="minorHAnsi"/>
          <w:sz w:val="24"/>
        </w:rPr>
      </w:pPr>
      <w:r w:rsidRPr="00485AD8">
        <w:rPr>
          <w:rFonts w:asciiTheme="minorHAnsi" w:hAnsiTheme="minorHAnsi" w:cstheme="minorHAnsi"/>
          <w:b/>
          <w:sz w:val="24"/>
        </w:rPr>
        <w:t>Obiettivi.</w:t>
      </w:r>
      <w:r w:rsidRPr="00485AD8">
        <w:rPr>
          <w:rFonts w:asciiTheme="minorHAnsi" w:hAnsiTheme="minorHAnsi" w:cstheme="minorHAnsi"/>
          <w:sz w:val="24"/>
        </w:rPr>
        <w:t xml:space="preserve"> Misurare i livelli sierici di IFN</w:t>
      </w:r>
      <w:r w:rsidR="0053766B" w:rsidRPr="00485AD8">
        <w:rPr>
          <w:rFonts w:asciiTheme="minorHAnsi" w:hAnsiTheme="minorHAnsi" w:cstheme="minorHAnsi"/>
          <w:sz w:val="24"/>
        </w:rPr>
        <w:t>γ</w:t>
      </w:r>
      <w:r w:rsidRPr="00485AD8">
        <w:rPr>
          <w:rFonts w:asciiTheme="minorHAnsi" w:hAnsiTheme="minorHAnsi" w:cstheme="minorHAnsi"/>
          <w:sz w:val="24"/>
        </w:rPr>
        <w:t>, delle chemochine indotte da IFN</w:t>
      </w:r>
      <w:r w:rsidR="0053766B" w:rsidRPr="00485AD8">
        <w:rPr>
          <w:rFonts w:asciiTheme="minorHAnsi" w:hAnsiTheme="minorHAnsi" w:cstheme="minorHAnsi"/>
          <w:sz w:val="24"/>
        </w:rPr>
        <w:t>γ</w:t>
      </w:r>
      <w:r w:rsidRPr="00485AD8">
        <w:rPr>
          <w:rFonts w:asciiTheme="minorHAnsi" w:hAnsiTheme="minorHAnsi" w:cstheme="minorHAnsi"/>
          <w:sz w:val="24"/>
        </w:rPr>
        <w:t xml:space="preserve"> e di altri biomarcatori nei pazienti con MAS </w:t>
      </w:r>
      <w:r w:rsidR="00D20B9B">
        <w:rPr>
          <w:rFonts w:asciiTheme="minorHAnsi" w:hAnsiTheme="minorHAnsi" w:cstheme="minorHAnsi"/>
          <w:sz w:val="24"/>
        </w:rPr>
        <w:t xml:space="preserve">e valutare </w:t>
      </w:r>
      <w:r w:rsidR="00D20B9B" w:rsidRPr="00D20B9B">
        <w:rPr>
          <w:rFonts w:asciiTheme="minorHAnsi" w:hAnsiTheme="minorHAnsi" w:cstheme="minorHAnsi"/>
          <w:sz w:val="24"/>
        </w:rPr>
        <w:t>la correlazione</w:t>
      </w:r>
      <w:r w:rsidRPr="00485AD8">
        <w:rPr>
          <w:rFonts w:asciiTheme="minorHAnsi" w:hAnsiTheme="minorHAnsi" w:cstheme="minorHAnsi"/>
          <w:sz w:val="24"/>
        </w:rPr>
        <w:t xml:space="preserve"> con i parametri di laboratorio di </w:t>
      </w:r>
      <w:r w:rsidR="005B75A1">
        <w:rPr>
          <w:rFonts w:asciiTheme="minorHAnsi" w:hAnsiTheme="minorHAnsi" w:cstheme="minorHAnsi"/>
          <w:sz w:val="24"/>
        </w:rPr>
        <w:t xml:space="preserve">gravità di </w:t>
      </w:r>
      <w:r w:rsidRPr="00485AD8">
        <w:rPr>
          <w:rFonts w:asciiTheme="minorHAnsi" w:hAnsiTheme="minorHAnsi" w:cstheme="minorHAnsi"/>
          <w:sz w:val="24"/>
        </w:rPr>
        <w:t>malattia.</w:t>
      </w:r>
    </w:p>
    <w:p w:rsidR="0003123E" w:rsidRPr="00485AD8" w:rsidRDefault="00472603" w:rsidP="000312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485AD8">
        <w:rPr>
          <w:rFonts w:asciiTheme="minorHAnsi" w:eastAsia="Arial Unicode MS" w:hAnsiTheme="minorHAnsi" w:cstheme="minorHAnsi"/>
          <w:b/>
          <w:sz w:val="24"/>
          <w:lang w:val="en-US"/>
        </w:rPr>
        <w:t>Met</w:t>
      </w:r>
      <w:r w:rsidR="00EE6E7B" w:rsidRPr="00485AD8">
        <w:rPr>
          <w:rFonts w:asciiTheme="minorHAnsi" w:eastAsia="Arial Unicode MS" w:hAnsiTheme="minorHAnsi" w:cstheme="minorHAnsi"/>
          <w:b/>
          <w:sz w:val="24"/>
          <w:lang w:val="en-US"/>
        </w:rPr>
        <w:t>odi</w:t>
      </w:r>
      <w:r w:rsidR="004F520E" w:rsidRPr="00485AD8">
        <w:rPr>
          <w:rFonts w:asciiTheme="minorHAnsi" w:eastAsia="Arial Unicode MS" w:hAnsiTheme="minorHAnsi" w:cstheme="minorHAnsi"/>
          <w:b/>
          <w:sz w:val="24"/>
          <w:lang w:val="en-US"/>
        </w:rPr>
        <w:t xml:space="preserve">. </w:t>
      </w:r>
      <w:r w:rsidR="00EE6E7B" w:rsidRPr="00485AD8">
        <w:rPr>
          <w:rFonts w:asciiTheme="minorHAnsi" w:eastAsia="Arial Unicode MS" w:hAnsiTheme="minorHAnsi" w:cstheme="minorHAnsi"/>
          <w:sz w:val="24"/>
        </w:rPr>
        <w:t xml:space="preserve">Tramite un </w:t>
      </w:r>
      <w:r w:rsidR="00EE6E7B" w:rsidRPr="00485AD8">
        <w:rPr>
          <w:rFonts w:asciiTheme="minorHAnsi" w:hAnsiTheme="minorHAnsi" w:cstheme="minorHAnsi"/>
          <w:sz w:val="24"/>
        </w:rPr>
        <w:t>Luminex multiplexing assay</w:t>
      </w:r>
      <w:r w:rsidR="00EE6E7B" w:rsidRPr="00485AD8">
        <w:rPr>
          <w:rFonts w:asciiTheme="minorHAnsi" w:eastAsia="Arial Unicode MS" w:hAnsiTheme="minorHAnsi" w:cstheme="minorHAnsi"/>
          <w:sz w:val="24"/>
        </w:rPr>
        <w:t xml:space="preserve"> abbiamo misurato i livelli d</w:t>
      </w:r>
      <w:r w:rsidR="004F520E" w:rsidRPr="00485AD8">
        <w:rPr>
          <w:rFonts w:asciiTheme="minorHAnsi" w:eastAsia="Arial Unicode MS" w:hAnsiTheme="minorHAnsi" w:cstheme="minorHAnsi"/>
          <w:sz w:val="24"/>
        </w:rPr>
        <w:t>i</w:t>
      </w:r>
      <w:r w:rsidR="00EE6E7B" w:rsidRPr="00485AD8">
        <w:rPr>
          <w:rFonts w:asciiTheme="minorHAnsi" w:eastAsia="Arial Unicode MS" w:hAnsiTheme="minorHAnsi" w:cstheme="minorHAnsi"/>
          <w:sz w:val="24"/>
        </w:rPr>
        <w:t xml:space="preserve"> sCD25</w:t>
      </w:r>
      <w:r w:rsidR="004F520E" w:rsidRPr="00485AD8">
        <w:rPr>
          <w:rFonts w:asciiTheme="minorHAnsi" w:eastAsia="Arial Unicode MS" w:hAnsiTheme="minorHAnsi" w:cstheme="minorHAnsi"/>
          <w:sz w:val="24"/>
        </w:rPr>
        <w:t xml:space="preserve">, IL-18 </w:t>
      </w:r>
      <w:r w:rsidR="00EE6E7B" w:rsidRPr="00485AD8">
        <w:rPr>
          <w:rFonts w:asciiTheme="minorHAnsi" w:eastAsia="Arial Unicode MS" w:hAnsiTheme="minorHAnsi" w:cstheme="minorHAnsi"/>
          <w:sz w:val="24"/>
        </w:rPr>
        <w:t>e</w:t>
      </w:r>
      <w:r w:rsidR="004F520E" w:rsidRPr="00485AD8">
        <w:rPr>
          <w:rFonts w:asciiTheme="minorHAnsi" w:eastAsia="Arial Unicode MS" w:hAnsiTheme="minorHAnsi" w:cstheme="minorHAnsi"/>
          <w:sz w:val="24"/>
        </w:rPr>
        <w:t xml:space="preserve"> neopterin</w:t>
      </w:r>
      <w:r w:rsidR="00EE6E7B" w:rsidRPr="00485AD8">
        <w:rPr>
          <w:rFonts w:asciiTheme="minorHAnsi" w:eastAsia="Arial Unicode MS" w:hAnsiTheme="minorHAnsi" w:cstheme="minorHAnsi"/>
          <w:sz w:val="24"/>
        </w:rPr>
        <w:t>a</w:t>
      </w:r>
      <w:r w:rsidR="004F520E" w:rsidRPr="00485AD8">
        <w:rPr>
          <w:rFonts w:asciiTheme="minorHAnsi" w:eastAsia="Arial Unicode MS" w:hAnsiTheme="minorHAnsi" w:cstheme="minorHAnsi"/>
          <w:sz w:val="24"/>
        </w:rPr>
        <w:t xml:space="preserve">, </w:t>
      </w:r>
      <w:r w:rsidR="00EE6E7B" w:rsidRPr="00485AD8">
        <w:rPr>
          <w:rFonts w:asciiTheme="minorHAnsi" w:eastAsia="Arial Unicode MS" w:hAnsiTheme="minorHAnsi" w:cstheme="minorHAnsi"/>
          <w:sz w:val="24"/>
        </w:rPr>
        <w:t xml:space="preserve">oltre ai livelli di </w:t>
      </w:r>
      <w:r w:rsidR="004F520E" w:rsidRPr="00485AD8">
        <w:rPr>
          <w:rFonts w:asciiTheme="minorHAnsi" w:eastAsia="Arial Unicode MS" w:hAnsiTheme="minorHAnsi" w:cstheme="minorHAnsi"/>
          <w:sz w:val="24"/>
        </w:rPr>
        <w:t>IFNγ</w:t>
      </w:r>
      <w:r w:rsidR="003D30DF" w:rsidRPr="00485AD8">
        <w:rPr>
          <w:rFonts w:asciiTheme="minorHAnsi" w:eastAsia="Arial Unicode MS" w:hAnsiTheme="minorHAnsi" w:cstheme="minorHAnsi"/>
          <w:sz w:val="24"/>
        </w:rPr>
        <w:t xml:space="preserve">, </w:t>
      </w:r>
      <w:r w:rsidR="004F520E" w:rsidRPr="00485AD8">
        <w:rPr>
          <w:rFonts w:asciiTheme="minorHAnsi" w:eastAsia="Arial Unicode MS" w:hAnsiTheme="minorHAnsi" w:cstheme="minorHAnsi"/>
          <w:sz w:val="24"/>
        </w:rPr>
        <w:t xml:space="preserve">CXCL9 </w:t>
      </w:r>
      <w:r w:rsidR="00EE6E7B" w:rsidRPr="00485AD8">
        <w:rPr>
          <w:rFonts w:asciiTheme="minorHAnsi" w:eastAsia="Arial Unicode MS" w:hAnsiTheme="minorHAnsi" w:cstheme="minorHAnsi"/>
          <w:sz w:val="24"/>
        </w:rPr>
        <w:t>e</w:t>
      </w:r>
      <w:r w:rsidR="004F520E" w:rsidRPr="00485AD8">
        <w:rPr>
          <w:rFonts w:asciiTheme="minorHAnsi" w:eastAsia="Arial Unicode MS" w:hAnsiTheme="minorHAnsi" w:cstheme="minorHAnsi"/>
          <w:sz w:val="24"/>
        </w:rPr>
        <w:t xml:space="preserve"> CXCL10 </w:t>
      </w:r>
      <w:r w:rsidR="00EE6E7B" w:rsidRPr="00485AD8">
        <w:rPr>
          <w:rFonts w:asciiTheme="minorHAnsi" w:eastAsia="Arial Unicode MS" w:hAnsiTheme="minorHAnsi" w:cstheme="minorHAnsi"/>
          <w:sz w:val="24"/>
        </w:rPr>
        <w:t xml:space="preserve"> </w:t>
      </w:r>
      <w:r w:rsidR="004F520E" w:rsidRPr="00485AD8">
        <w:rPr>
          <w:rFonts w:asciiTheme="minorHAnsi" w:eastAsia="Arial Unicode MS" w:hAnsiTheme="minorHAnsi" w:cstheme="minorHAnsi"/>
          <w:sz w:val="24"/>
        </w:rPr>
        <w:t xml:space="preserve">in 57 </w:t>
      </w:r>
      <w:r w:rsidR="00EE6E7B" w:rsidRPr="00485AD8">
        <w:rPr>
          <w:rFonts w:asciiTheme="minorHAnsi" w:eastAsia="Arial Unicode MS" w:hAnsiTheme="minorHAnsi" w:cstheme="minorHAnsi"/>
          <w:sz w:val="24"/>
        </w:rPr>
        <w:t xml:space="preserve">campioni ottenuti da </w:t>
      </w:r>
      <w:r w:rsidR="004F520E" w:rsidRPr="00485AD8">
        <w:rPr>
          <w:rFonts w:asciiTheme="minorHAnsi" w:eastAsia="Arial Unicode MS" w:hAnsiTheme="minorHAnsi" w:cstheme="minorHAnsi"/>
          <w:sz w:val="24"/>
        </w:rPr>
        <w:t>24 pa</w:t>
      </w:r>
      <w:r w:rsidR="00EE6E7B" w:rsidRPr="00485AD8">
        <w:rPr>
          <w:rFonts w:asciiTheme="minorHAnsi" w:eastAsia="Arial Unicode MS" w:hAnsiTheme="minorHAnsi" w:cstheme="minorHAnsi"/>
          <w:sz w:val="24"/>
        </w:rPr>
        <w:t xml:space="preserve">zienti con AIGs in fase attiva e in 37 campioni di 20 pazienti con MAS attiva </w:t>
      </w:r>
      <w:r w:rsidR="00D26905">
        <w:rPr>
          <w:rFonts w:asciiTheme="minorHAnsi" w:eastAsia="Arial Unicode MS" w:hAnsiTheme="minorHAnsi" w:cstheme="minorHAnsi"/>
          <w:sz w:val="24"/>
        </w:rPr>
        <w:t>al momento del prelievo</w:t>
      </w:r>
      <w:r w:rsidR="004F520E" w:rsidRPr="00485AD8">
        <w:rPr>
          <w:rFonts w:asciiTheme="minorHAnsi" w:eastAsia="Arial Unicode MS" w:hAnsiTheme="minorHAnsi" w:cstheme="minorHAnsi"/>
          <w:sz w:val="24"/>
        </w:rPr>
        <w:t xml:space="preserve">. </w:t>
      </w:r>
      <w:r w:rsidR="0003123E" w:rsidRPr="00485AD8">
        <w:rPr>
          <w:rFonts w:asciiTheme="minorHAnsi" w:hAnsiTheme="minorHAnsi" w:cstheme="minorHAnsi"/>
          <w:sz w:val="24"/>
        </w:rPr>
        <w:t xml:space="preserve">Abbiamo poi valutato la correlazione tra i livelli sierici di sCD25, IL-18 e neopterina </w:t>
      </w:r>
      <w:r w:rsidR="0053766B">
        <w:rPr>
          <w:rFonts w:asciiTheme="minorHAnsi" w:hAnsiTheme="minorHAnsi" w:cstheme="minorHAnsi"/>
          <w:sz w:val="24"/>
        </w:rPr>
        <w:t>oltre</w:t>
      </w:r>
      <w:r w:rsidR="0003123E" w:rsidRPr="00485AD8">
        <w:rPr>
          <w:rFonts w:asciiTheme="minorHAnsi" w:hAnsiTheme="minorHAnsi" w:cstheme="minorHAnsi"/>
          <w:sz w:val="24"/>
        </w:rPr>
        <w:t xml:space="preserve"> a IFNγ, CXCL9 e CXCL10 con i parametri di laboratorio di </w:t>
      </w:r>
      <w:r w:rsidR="005B75A1">
        <w:rPr>
          <w:rFonts w:asciiTheme="minorHAnsi" w:hAnsiTheme="minorHAnsi" w:cstheme="minorHAnsi"/>
          <w:sz w:val="24"/>
        </w:rPr>
        <w:t xml:space="preserve">gravità </w:t>
      </w:r>
      <w:r w:rsidR="0003123E" w:rsidRPr="00485AD8">
        <w:rPr>
          <w:rFonts w:asciiTheme="minorHAnsi" w:hAnsiTheme="minorHAnsi" w:cstheme="minorHAnsi"/>
          <w:sz w:val="24"/>
        </w:rPr>
        <w:t>di malattia in pazienti con AIGs in fase attiva con</w:t>
      </w:r>
      <w:r w:rsidR="0053766B">
        <w:rPr>
          <w:rFonts w:asciiTheme="minorHAnsi" w:hAnsiTheme="minorHAnsi" w:cstheme="minorHAnsi"/>
          <w:sz w:val="24"/>
        </w:rPr>
        <w:t xml:space="preserve"> </w:t>
      </w:r>
      <w:r w:rsidR="0003123E" w:rsidRPr="00485AD8">
        <w:rPr>
          <w:rFonts w:asciiTheme="minorHAnsi" w:hAnsiTheme="minorHAnsi" w:cstheme="minorHAnsi"/>
          <w:sz w:val="24"/>
        </w:rPr>
        <w:t xml:space="preserve">o senza MAS al momento del prelievo.  </w:t>
      </w:r>
    </w:p>
    <w:p w:rsidR="00D26CAC" w:rsidRPr="00485AD8" w:rsidRDefault="00472603" w:rsidP="00217C6A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jc w:val="both"/>
        <w:rPr>
          <w:rFonts w:asciiTheme="minorHAnsi" w:eastAsia="Arial Unicode MS" w:hAnsiTheme="minorHAnsi" w:cstheme="minorHAnsi"/>
          <w:sz w:val="24"/>
        </w:rPr>
      </w:pPr>
      <w:r w:rsidRPr="00485AD8">
        <w:rPr>
          <w:rFonts w:asciiTheme="minorHAnsi" w:eastAsia="Arial Unicode MS" w:hAnsiTheme="minorHAnsi" w:cstheme="minorHAnsi"/>
          <w:b/>
          <w:sz w:val="24"/>
        </w:rPr>
        <w:t>R</w:t>
      </w:r>
      <w:r w:rsidR="0003123E" w:rsidRPr="00485AD8">
        <w:rPr>
          <w:rFonts w:asciiTheme="minorHAnsi" w:eastAsia="Arial Unicode MS" w:hAnsiTheme="minorHAnsi" w:cstheme="minorHAnsi"/>
          <w:b/>
          <w:sz w:val="24"/>
        </w:rPr>
        <w:t>isultati</w:t>
      </w:r>
      <w:r w:rsidR="006A18A3" w:rsidRPr="00485AD8">
        <w:rPr>
          <w:rFonts w:asciiTheme="minorHAnsi" w:eastAsia="Arial Unicode MS" w:hAnsiTheme="minorHAnsi" w:cstheme="minorHAnsi"/>
          <w:b/>
          <w:sz w:val="24"/>
        </w:rPr>
        <w:t>.</w:t>
      </w:r>
      <w:r w:rsidRPr="00485AD8">
        <w:rPr>
          <w:rFonts w:asciiTheme="minorHAnsi" w:eastAsia="Arial Unicode MS" w:hAnsiTheme="minorHAnsi" w:cstheme="minorHAnsi"/>
          <w:sz w:val="24"/>
        </w:rPr>
        <w:t xml:space="preserve"> </w:t>
      </w:r>
      <w:r w:rsidR="0003123E" w:rsidRPr="00485AD8">
        <w:rPr>
          <w:rFonts w:asciiTheme="minorHAnsi" w:eastAsia="Arial Unicode MS" w:hAnsiTheme="minorHAnsi" w:cstheme="minorHAnsi"/>
          <w:sz w:val="24"/>
        </w:rPr>
        <w:t xml:space="preserve">I livelli di </w:t>
      </w:r>
      <w:r w:rsidRPr="00485AD8">
        <w:rPr>
          <w:rFonts w:asciiTheme="minorHAnsi" w:eastAsia="Arial Unicode MS" w:hAnsiTheme="minorHAnsi" w:cstheme="minorHAnsi"/>
          <w:sz w:val="24"/>
        </w:rPr>
        <w:t>IFNγ, CXCL9, CXCL10, sCD25, IL-18</w:t>
      </w:r>
      <w:r w:rsidR="0003123E" w:rsidRPr="00485AD8">
        <w:rPr>
          <w:rFonts w:asciiTheme="minorHAnsi" w:eastAsia="Arial Unicode MS" w:hAnsiTheme="minorHAnsi" w:cstheme="minorHAnsi"/>
          <w:sz w:val="24"/>
        </w:rPr>
        <w:t xml:space="preserve"> e</w:t>
      </w:r>
      <w:r w:rsidRPr="00485AD8">
        <w:rPr>
          <w:rFonts w:asciiTheme="minorHAnsi" w:eastAsia="Arial Unicode MS" w:hAnsiTheme="minorHAnsi" w:cstheme="minorHAnsi"/>
          <w:sz w:val="24"/>
        </w:rPr>
        <w:t xml:space="preserve"> neopterin</w:t>
      </w:r>
      <w:r w:rsidR="0003123E" w:rsidRPr="00485AD8">
        <w:rPr>
          <w:rFonts w:asciiTheme="minorHAnsi" w:eastAsia="Arial Unicode MS" w:hAnsiTheme="minorHAnsi" w:cstheme="minorHAnsi"/>
          <w:sz w:val="24"/>
        </w:rPr>
        <w:t xml:space="preserve">a sono risultati significativamente elevati nei </w:t>
      </w:r>
      <w:r w:rsidR="005B75A1" w:rsidRPr="00485AD8">
        <w:rPr>
          <w:rFonts w:asciiTheme="minorHAnsi" w:eastAsia="Arial Unicode MS" w:hAnsiTheme="minorHAnsi" w:cstheme="minorHAnsi"/>
          <w:sz w:val="24"/>
        </w:rPr>
        <w:t>pazienti</w:t>
      </w:r>
      <w:r w:rsidR="0003123E" w:rsidRPr="00485AD8">
        <w:rPr>
          <w:rFonts w:asciiTheme="minorHAnsi" w:eastAsia="Arial Unicode MS" w:hAnsiTheme="minorHAnsi" w:cstheme="minorHAnsi"/>
          <w:sz w:val="24"/>
        </w:rPr>
        <w:t xml:space="preserve"> con MAS rispetto ai pazienti con AIGs in fase attiva senza MAS al momento del prelievo</w:t>
      </w:r>
      <w:r w:rsidRPr="00485AD8">
        <w:rPr>
          <w:rFonts w:asciiTheme="minorHAnsi" w:eastAsia="Arial Unicode MS" w:hAnsiTheme="minorHAnsi" w:cstheme="minorHAnsi"/>
          <w:sz w:val="24"/>
        </w:rPr>
        <w:t xml:space="preserve"> (p&lt;0.0001, e</w:t>
      </w:r>
      <w:r w:rsidR="0003123E" w:rsidRPr="00485AD8">
        <w:rPr>
          <w:rFonts w:asciiTheme="minorHAnsi" w:eastAsia="Arial Unicode MS" w:hAnsiTheme="minorHAnsi" w:cstheme="minorHAnsi"/>
          <w:sz w:val="24"/>
        </w:rPr>
        <w:t>ccetto per</w:t>
      </w:r>
      <w:r w:rsidRPr="00485AD8">
        <w:rPr>
          <w:rFonts w:asciiTheme="minorHAnsi" w:eastAsia="Arial Unicode MS" w:hAnsiTheme="minorHAnsi" w:cstheme="minorHAnsi"/>
          <w:sz w:val="24"/>
        </w:rPr>
        <w:t xml:space="preserve"> IL-18 p=0.012). </w:t>
      </w:r>
      <w:r w:rsidR="0003123E" w:rsidRPr="00485AD8">
        <w:rPr>
          <w:rFonts w:asciiTheme="minorHAnsi" w:eastAsia="Arial Unicode MS" w:hAnsiTheme="minorHAnsi" w:cstheme="minorHAnsi"/>
          <w:sz w:val="24"/>
        </w:rPr>
        <w:t xml:space="preserve">Nei pazienti con MAS i parametri di laboratorio di </w:t>
      </w:r>
      <w:r w:rsidR="005B75A1">
        <w:rPr>
          <w:rFonts w:asciiTheme="minorHAnsi" w:eastAsia="Arial Unicode MS" w:hAnsiTheme="minorHAnsi" w:cstheme="minorHAnsi"/>
          <w:sz w:val="24"/>
        </w:rPr>
        <w:t>gravit</w:t>
      </w:r>
      <w:r w:rsidR="0003123E" w:rsidRPr="00485AD8">
        <w:rPr>
          <w:rFonts w:asciiTheme="minorHAnsi" w:eastAsia="Arial Unicode MS" w:hAnsiTheme="minorHAnsi" w:cstheme="minorHAnsi"/>
          <w:sz w:val="24"/>
        </w:rPr>
        <w:t xml:space="preserve">à di malattia correlano in maniera significativa con i livelli di IFNγ, CXCL9, CXCL10, sCD25 e neopterina, mentre non correlano nei pazienti con AIGs in fase attiva senza MAS al momento del prelievo </w:t>
      </w:r>
      <w:r w:rsidRPr="00485AD8">
        <w:rPr>
          <w:rFonts w:asciiTheme="minorHAnsi" w:eastAsia="Arial Unicode MS" w:hAnsiTheme="minorHAnsi" w:cstheme="minorHAnsi"/>
          <w:sz w:val="24"/>
        </w:rPr>
        <w:t>(Tab</w:t>
      </w:r>
      <w:r w:rsidR="000D50A8">
        <w:rPr>
          <w:rFonts w:asciiTheme="minorHAnsi" w:eastAsia="Arial Unicode MS" w:hAnsiTheme="minorHAnsi" w:cstheme="minorHAnsi"/>
          <w:sz w:val="24"/>
        </w:rPr>
        <w:t>.</w:t>
      </w:r>
      <w:r w:rsidRPr="00485AD8">
        <w:rPr>
          <w:rFonts w:asciiTheme="minorHAnsi" w:eastAsia="Arial Unicode MS" w:hAnsiTheme="minorHAnsi" w:cstheme="minorHAnsi"/>
          <w:sz w:val="24"/>
        </w:rPr>
        <w:t xml:space="preserve">1). </w:t>
      </w:r>
      <w:r w:rsidR="0003123E" w:rsidRPr="00485AD8">
        <w:rPr>
          <w:rFonts w:asciiTheme="minorHAnsi" w:eastAsia="Arial Unicode MS" w:hAnsiTheme="minorHAnsi" w:cstheme="minorHAnsi"/>
          <w:sz w:val="24"/>
        </w:rPr>
        <w:t>Non abbiamo riscontrato alcuna correlazione con i livelli di IL-18, (i liv</w:t>
      </w:r>
      <w:r w:rsidR="005B75A1">
        <w:rPr>
          <w:rFonts w:asciiTheme="minorHAnsi" w:eastAsia="Arial Unicode MS" w:hAnsiTheme="minorHAnsi" w:cstheme="minorHAnsi"/>
          <w:sz w:val="24"/>
        </w:rPr>
        <w:t>elli di questa citochina erano però d</w:t>
      </w:r>
      <w:r w:rsidR="00D20B9B">
        <w:rPr>
          <w:rFonts w:asciiTheme="minorHAnsi" w:eastAsia="Arial Unicode MS" w:hAnsiTheme="minorHAnsi" w:cstheme="minorHAnsi"/>
          <w:sz w:val="24"/>
        </w:rPr>
        <w:t>isponibili</w:t>
      </w:r>
      <w:r w:rsidR="0003123E" w:rsidRPr="00485AD8">
        <w:rPr>
          <w:rFonts w:asciiTheme="minorHAnsi" w:eastAsia="Arial Unicode MS" w:hAnsiTheme="minorHAnsi" w:cstheme="minorHAnsi"/>
          <w:sz w:val="24"/>
        </w:rPr>
        <w:t xml:space="preserve"> solo per una parte dei campioni)</w:t>
      </w:r>
      <w:r w:rsidRPr="00485AD8">
        <w:rPr>
          <w:rFonts w:asciiTheme="minorHAnsi" w:eastAsia="Arial Unicode MS" w:hAnsiTheme="minorHAnsi" w:cstheme="minorHAnsi"/>
          <w:sz w:val="24"/>
        </w:rPr>
        <w:t xml:space="preserve">. </w:t>
      </w:r>
      <w:r w:rsidR="005B75A1">
        <w:rPr>
          <w:rFonts w:asciiTheme="minorHAnsi" w:eastAsia="Arial Unicode MS" w:hAnsiTheme="minorHAnsi" w:cstheme="minorHAnsi"/>
          <w:sz w:val="24"/>
        </w:rPr>
        <w:t>E’ molto</w:t>
      </w:r>
      <w:r w:rsidR="00EC0328" w:rsidRPr="00485AD8">
        <w:rPr>
          <w:rFonts w:asciiTheme="minorHAnsi" w:eastAsia="Arial Unicode MS" w:hAnsiTheme="minorHAnsi" w:cstheme="minorHAnsi"/>
          <w:sz w:val="24"/>
        </w:rPr>
        <w:t xml:space="preserve"> interessante c</w:t>
      </w:r>
      <w:r w:rsidR="000D50A8">
        <w:rPr>
          <w:rFonts w:asciiTheme="minorHAnsi" w:eastAsia="Arial Unicode MS" w:hAnsiTheme="minorHAnsi" w:cstheme="minorHAnsi"/>
          <w:sz w:val="24"/>
        </w:rPr>
        <w:t>ome</w:t>
      </w:r>
      <w:r w:rsidR="00EC0328" w:rsidRPr="00485AD8">
        <w:rPr>
          <w:rFonts w:asciiTheme="minorHAnsi" w:eastAsia="Arial Unicode MS" w:hAnsiTheme="minorHAnsi" w:cstheme="minorHAnsi"/>
          <w:sz w:val="24"/>
        </w:rPr>
        <w:t xml:space="preserve"> </w:t>
      </w:r>
      <w:r w:rsidR="005B75A1">
        <w:rPr>
          <w:rFonts w:asciiTheme="minorHAnsi" w:eastAsia="Arial Unicode MS" w:hAnsiTheme="minorHAnsi" w:cstheme="minorHAnsi"/>
          <w:sz w:val="24"/>
        </w:rPr>
        <w:t>in fase attiva</w:t>
      </w:r>
      <w:r w:rsidR="00EC0328" w:rsidRPr="00485AD8">
        <w:rPr>
          <w:rFonts w:asciiTheme="minorHAnsi" w:eastAsia="Arial Unicode MS" w:hAnsiTheme="minorHAnsi" w:cstheme="minorHAnsi"/>
          <w:sz w:val="24"/>
        </w:rPr>
        <w:t xml:space="preserve"> di AIGs senza MAS al momento del prelievo, i livelli di </w:t>
      </w:r>
      <w:r w:rsidRPr="00485AD8">
        <w:rPr>
          <w:rFonts w:asciiTheme="minorHAnsi" w:eastAsia="Arial Unicode MS" w:hAnsiTheme="minorHAnsi" w:cstheme="minorHAnsi"/>
          <w:sz w:val="24"/>
        </w:rPr>
        <w:t>CXCL9 (median</w:t>
      </w:r>
      <w:r w:rsidR="00EC0328" w:rsidRPr="00485AD8">
        <w:rPr>
          <w:rFonts w:asciiTheme="minorHAnsi" w:eastAsia="Arial Unicode MS" w:hAnsiTheme="minorHAnsi" w:cstheme="minorHAnsi"/>
          <w:sz w:val="24"/>
        </w:rPr>
        <w:t>a</w:t>
      </w:r>
      <w:r w:rsidRPr="00485AD8">
        <w:rPr>
          <w:rFonts w:asciiTheme="minorHAnsi" w:eastAsia="Arial Unicode MS" w:hAnsiTheme="minorHAnsi" w:cstheme="minorHAnsi"/>
          <w:sz w:val="24"/>
        </w:rPr>
        <w:t xml:space="preserve"> 3889,IQR 965-7142), CXCL10 (764,323-1259) </w:t>
      </w:r>
      <w:r w:rsidR="00EC0328" w:rsidRPr="00485AD8">
        <w:rPr>
          <w:rFonts w:asciiTheme="minorHAnsi" w:eastAsia="Arial Unicode MS" w:hAnsiTheme="minorHAnsi" w:cstheme="minorHAnsi"/>
          <w:sz w:val="24"/>
        </w:rPr>
        <w:t>e</w:t>
      </w:r>
      <w:r w:rsidRPr="00485AD8">
        <w:rPr>
          <w:rFonts w:asciiTheme="minorHAnsi" w:eastAsia="Arial Unicode MS" w:hAnsiTheme="minorHAnsi" w:cstheme="minorHAnsi"/>
          <w:sz w:val="24"/>
        </w:rPr>
        <w:t xml:space="preserve"> IL-18 (4405,582-7122) </w:t>
      </w:r>
      <w:r w:rsidR="005B75A1">
        <w:rPr>
          <w:rFonts w:asciiTheme="minorHAnsi" w:eastAsia="Arial Unicode MS" w:hAnsiTheme="minorHAnsi" w:cstheme="minorHAnsi"/>
          <w:sz w:val="24"/>
        </w:rPr>
        <w:t>sono</w:t>
      </w:r>
      <w:r w:rsidR="00EC0328" w:rsidRPr="00485AD8">
        <w:rPr>
          <w:rFonts w:asciiTheme="minorHAnsi" w:eastAsia="Arial Unicode MS" w:hAnsiTheme="minorHAnsi" w:cstheme="minorHAnsi"/>
          <w:sz w:val="24"/>
        </w:rPr>
        <w:t xml:space="preserve"> significativamente più elevati nei pazienti con storia di MAS rispetto ai pazienti che non </w:t>
      </w:r>
      <w:r w:rsidR="005B75A1">
        <w:rPr>
          <w:rFonts w:asciiTheme="minorHAnsi" w:eastAsia="Arial Unicode MS" w:hAnsiTheme="minorHAnsi" w:cstheme="minorHAnsi"/>
          <w:sz w:val="24"/>
        </w:rPr>
        <w:t>hanno</w:t>
      </w:r>
      <w:r w:rsidR="00EC0328" w:rsidRPr="00485AD8">
        <w:rPr>
          <w:rFonts w:asciiTheme="minorHAnsi" w:eastAsia="Arial Unicode MS" w:hAnsiTheme="minorHAnsi" w:cstheme="minorHAnsi"/>
          <w:sz w:val="24"/>
        </w:rPr>
        <w:t xml:space="preserve"> mai presentato un episodio di MAS </w:t>
      </w:r>
      <w:r w:rsidR="00D26905">
        <w:rPr>
          <w:rFonts w:asciiTheme="minorHAnsi" w:eastAsia="Arial Unicode MS" w:hAnsiTheme="minorHAnsi" w:cstheme="minorHAnsi"/>
          <w:sz w:val="24"/>
        </w:rPr>
        <w:t>(519,385-1168; 215,</w:t>
      </w:r>
      <w:r w:rsidRPr="00485AD8">
        <w:rPr>
          <w:rFonts w:asciiTheme="minorHAnsi" w:eastAsia="Arial Unicode MS" w:hAnsiTheme="minorHAnsi" w:cstheme="minorHAnsi"/>
          <w:sz w:val="24"/>
        </w:rPr>
        <w:t>152-470; 439,312-824, r</w:t>
      </w:r>
      <w:r w:rsidR="00EC0328" w:rsidRPr="00485AD8">
        <w:rPr>
          <w:rFonts w:asciiTheme="minorHAnsi" w:eastAsia="Arial Unicode MS" w:hAnsiTheme="minorHAnsi" w:cstheme="minorHAnsi"/>
          <w:sz w:val="24"/>
        </w:rPr>
        <w:t>ispettivamente</w:t>
      </w:r>
      <w:r w:rsidRPr="00485AD8">
        <w:rPr>
          <w:rFonts w:asciiTheme="minorHAnsi" w:eastAsia="Arial Unicode MS" w:hAnsiTheme="minorHAnsi" w:cstheme="minorHAnsi"/>
          <w:sz w:val="24"/>
        </w:rPr>
        <w:t>).</w:t>
      </w:r>
      <w:r w:rsidR="00F93582">
        <w:rPr>
          <w:rFonts w:asciiTheme="minorHAnsi" w:eastAsia="Arial Unicode MS" w:hAnsiTheme="minorHAnsi" w:cstheme="minorHAnsi"/>
          <w:sz w:val="24"/>
        </w:rPr>
        <w:t xml:space="preserve"> Infine abbiamo provato a verificare </w:t>
      </w:r>
      <w:r w:rsidR="006820B4">
        <w:rPr>
          <w:rFonts w:asciiTheme="minorHAnsi" w:eastAsia="Arial Unicode MS" w:hAnsiTheme="minorHAnsi" w:cstheme="minorHAnsi"/>
          <w:sz w:val="24"/>
        </w:rPr>
        <w:t xml:space="preserve">con le curve ROC </w:t>
      </w:r>
      <w:r w:rsidR="00F93582">
        <w:rPr>
          <w:rFonts w:asciiTheme="minorHAnsi" w:eastAsia="Arial Unicode MS" w:hAnsiTheme="minorHAnsi" w:cstheme="minorHAnsi"/>
          <w:sz w:val="24"/>
        </w:rPr>
        <w:t>se questi biomarcatori possano distinguere una MAS da una AIGs in fase attiva</w:t>
      </w:r>
      <w:r w:rsidR="004A4131">
        <w:rPr>
          <w:rFonts w:asciiTheme="minorHAnsi" w:eastAsia="Arial Unicode MS" w:hAnsiTheme="minorHAnsi" w:cstheme="minorHAnsi"/>
          <w:sz w:val="24"/>
        </w:rPr>
        <w:t xml:space="preserve">, e </w:t>
      </w:r>
      <w:r w:rsidR="000D50A8">
        <w:rPr>
          <w:rFonts w:asciiTheme="minorHAnsi" w:eastAsia="Arial Unicode MS" w:hAnsiTheme="minorHAnsi" w:cstheme="minorHAnsi"/>
          <w:sz w:val="24"/>
        </w:rPr>
        <w:t xml:space="preserve">nessuno </w:t>
      </w:r>
      <w:r w:rsidR="004A4131">
        <w:rPr>
          <w:rFonts w:asciiTheme="minorHAnsi" w:eastAsia="Arial Unicode MS" w:hAnsiTheme="minorHAnsi" w:cstheme="minorHAnsi"/>
          <w:sz w:val="24"/>
        </w:rPr>
        <w:t xml:space="preserve">lo fa. </w:t>
      </w:r>
      <w:r w:rsidR="006820B4">
        <w:rPr>
          <w:rFonts w:asciiTheme="minorHAnsi" w:eastAsia="Arial Unicode MS" w:hAnsiTheme="minorHAnsi" w:cstheme="minorHAnsi"/>
          <w:sz w:val="24"/>
        </w:rPr>
        <w:t>La migliore area sotto la curva è quella della Neopterina ma i campioni sono pochi.</w:t>
      </w:r>
    </w:p>
    <w:p w:rsidR="00D26CAC" w:rsidRPr="00485AD8" w:rsidRDefault="00472603" w:rsidP="00217C6A">
      <w:pPr>
        <w:jc w:val="both"/>
        <w:rPr>
          <w:rFonts w:asciiTheme="minorHAnsi" w:hAnsiTheme="minorHAnsi" w:cstheme="minorHAnsi"/>
          <w:sz w:val="24"/>
        </w:rPr>
      </w:pPr>
      <w:r w:rsidRPr="00485AD8">
        <w:rPr>
          <w:rFonts w:asciiTheme="minorHAnsi" w:eastAsia="Arial Unicode MS" w:hAnsiTheme="minorHAnsi" w:cstheme="minorHAnsi"/>
          <w:sz w:val="24"/>
        </w:rPr>
        <w:t> </w:t>
      </w:r>
    </w:p>
    <w:p w:rsidR="00D26CAC" w:rsidRPr="00485AD8" w:rsidRDefault="00472603" w:rsidP="00217C6A">
      <w:pPr>
        <w:jc w:val="both"/>
        <w:rPr>
          <w:rFonts w:asciiTheme="minorHAnsi" w:hAnsiTheme="minorHAnsi" w:cstheme="minorHAnsi"/>
          <w:sz w:val="24"/>
        </w:rPr>
      </w:pPr>
      <w:r w:rsidRPr="00485AD8">
        <w:rPr>
          <w:rFonts w:asciiTheme="minorHAnsi" w:eastAsia="Arial Unicode MS" w:hAnsiTheme="minorHAnsi" w:cstheme="minorHAnsi"/>
          <w:b/>
          <w:sz w:val="24"/>
        </w:rPr>
        <w:t>Tab</w:t>
      </w:r>
      <w:r w:rsidR="00EC0328" w:rsidRPr="00485AD8">
        <w:rPr>
          <w:rFonts w:asciiTheme="minorHAnsi" w:eastAsia="Arial Unicode MS" w:hAnsiTheme="minorHAnsi" w:cstheme="minorHAnsi"/>
          <w:b/>
          <w:sz w:val="24"/>
        </w:rPr>
        <w:t>ella</w:t>
      </w:r>
      <w:r w:rsidRPr="00485AD8">
        <w:rPr>
          <w:rFonts w:asciiTheme="minorHAnsi" w:eastAsia="Arial Unicode MS" w:hAnsiTheme="minorHAnsi" w:cstheme="minorHAnsi"/>
          <w:b/>
          <w:sz w:val="24"/>
        </w:rPr>
        <w:t xml:space="preserve"> 1.</w:t>
      </w:r>
      <w:r w:rsidRPr="00485AD8">
        <w:rPr>
          <w:rFonts w:asciiTheme="minorHAnsi" w:eastAsia="Arial Unicode MS" w:hAnsiTheme="minorHAnsi" w:cstheme="minorHAnsi"/>
          <w:sz w:val="24"/>
        </w:rPr>
        <w:t xml:space="preserve"> Correla</w:t>
      </w:r>
      <w:r w:rsidR="00EC0328" w:rsidRPr="00485AD8">
        <w:rPr>
          <w:rFonts w:asciiTheme="minorHAnsi" w:eastAsia="Arial Unicode MS" w:hAnsiTheme="minorHAnsi" w:cstheme="minorHAnsi"/>
          <w:sz w:val="24"/>
        </w:rPr>
        <w:t xml:space="preserve">zione tra le citochine e i parametri di laboratorio nelle MAS in fase attiva </w:t>
      </w:r>
      <w:r w:rsidRPr="00485AD8">
        <w:rPr>
          <w:rFonts w:asciiTheme="minorHAnsi" w:eastAsia="Arial Unicode MS" w:hAnsiTheme="minorHAnsi" w:cstheme="minorHAnsi"/>
          <w:sz w:val="24"/>
        </w:rPr>
        <w:t>(N=37).</w:t>
      </w:r>
    </w:p>
    <w:tbl>
      <w:tblPr>
        <w:tblW w:w="10997" w:type="dxa"/>
        <w:tblInd w:w="10" w:type="dxa"/>
        <w:tblLayout w:type="fixed"/>
        <w:tblLook w:val="0000"/>
      </w:tblPr>
      <w:tblGrid>
        <w:gridCol w:w="1941"/>
        <w:gridCol w:w="1337"/>
        <w:gridCol w:w="1593"/>
        <w:gridCol w:w="1715"/>
        <w:gridCol w:w="1593"/>
        <w:gridCol w:w="1347"/>
        <w:gridCol w:w="1471"/>
      </w:tblGrid>
      <w:tr w:rsidR="00D26CAC" w:rsidRPr="00F93582" w:rsidTr="00A73283">
        <w:tc>
          <w:tcPr>
            <w:tcW w:w="19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Pr="00F9358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IFN</w:t>
            </w:r>
            <w:r w:rsidR="00217C6A" w:rsidRPr="00F9358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γ</w:t>
            </w:r>
            <w:r w:rsidRPr="00F9358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CXCL9</w:t>
            </w:r>
          </w:p>
        </w:tc>
        <w:tc>
          <w:tcPr>
            <w:tcW w:w="17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CXCL10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sCD25</w:t>
            </w: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IL-18</w:t>
            </w:r>
          </w:p>
        </w:tc>
        <w:tc>
          <w:tcPr>
            <w:tcW w:w="14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Neopterin</w:t>
            </w:r>
            <w:r w:rsidR="00EC0328" w:rsidRPr="00F9358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D26CAC" w:rsidRPr="00F93582" w:rsidTr="00A73283">
        <w:tc>
          <w:tcPr>
            <w:tcW w:w="19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>p</w:t>
            </w:r>
            <w:r w:rsidRPr="00F9358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(r)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>p</w:t>
            </w:r>
            <w:r w:rsidRPr="00F9358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(r)</w:t>
            </w:r>
          </w:p>
        </w:tc>
        <w:tc>
          <w:tcPr>
            <w:tcW w:w="17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>p</w:t>
            </w:r>
            <w:r w:rsidRPr="00F9358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(r)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>p</w:t>
            </w:r>
            <w:r w:rsidRPr="00F9358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(r)</w:t>
            </w: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>p</w:t>
            </w:r>
            <w:r w:rsidRPr="00F9358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(r)</w:t>
            </w:r>
          </w:p>
        </w:tc>
        <w:tc>
          <w:tcPr>
            <w:tcW w:w="14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>p</w:t>
            </w:r>
            <w:r w:rsidRPr="00F9358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(r)</w:t>
            </w:r>
          </w:p>
        </w:tc>
      </w:tr>
      <w:tr w:rsidR="00D26CAC" w:rsidRPr="00F93582" w:rsidTr="00A73283">
        <w:tc>
          <w:tcPr>
            <w:tcW w:w="19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Ferritin</w:t>
            </w:r>
            <w:r w:rsidR="00EC0328"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a</w:t>
            </w: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(ng/mL)</w:t>
            </w:r>
          </w:p>
        </w:tc>
        <w:tc>
          <w:tcPr>
            <w:tcW w:w="13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0.014(0.46)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0.034(0.43)</w:t>
            </w:r>
          </w:p>
        </w:tc>
        <w:tc>
          <w:tcPr>
            <w:tcW w:w="17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0.003(0.54)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0.002(0.63)</w:t>
            </w: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&gt;0.1(0.35)</w:t>
            </w:r>
          </w:p>
        </w:tc>
        <w:tc>
          <w:tcPr>
            <w:tcW w:w="14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&gt;0.1(0.39)</w:t>
            </w:r>
          </w:p>
        </w:tc>
      </w:tr>
      <w:tr w:rsidR="00D26CAC" w:rsidRPr="00F93582" w:rsidTr="00A73283">
        <w:tc>
          <w:tcPr>
            <w:tcW w:w="19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EC0328" w:rsidP="00EC03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Globuli bianchi </w:t>
            </w:r>
            <w:r w:rsidR="00472603"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(x10</w:t>
            </w:r>
            <w:r w:rsidR="00472603" w:rsidRPr="00F93582">
              <w:rPr>
                <w:rFonts w:asciiTheme="minorHAnsi" w:eastAsia="Arial Unicode MS" w:hAnsiTheme="minorHAnsi" w:cstheme="minorHAnsi"/>
                <w:sz w:val="22"/>
                <w:szCs w:val="22"/>
                <w:vertAlign w:val="superscript"/>
              </w:rPr>
              <w:t>^9</w:t>
            </w:r>
            <w:r w:rsidR="00472603"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/L)</w:t>
            </w:r>
          </w:p>
        </w:tc>
        <w:tc>
          <w:tcPr>
            <w:tcW w:w="13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0.033(-0.47)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0.013(-0.56)</w:t>
            </w:r>
          </w:p>
        </w:tc>
        <w:tc>
          <w:tcPr>
            <w:tcW w:w="17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&gt;0.1(-0.32)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&gt;0.1(-0.42)</w:t>
            </w: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&gt;0.1(-0.40)</w:t>
            </w:r>
          </w:p>
        </w:tc>
        <w:tc>
          <w:tcPr>
            <w:tcW w:w="14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&gt;0.1(0.04)</w:t>
            </w:r>
          </w:p>
        </w:tc>
      </w:tr>
      <w:tr w:rsidR="00D26CAC" w:rsidRPr="00F93582" w:rsidTr="00A73283">
        <w:tc>
          <w:tcPr>
            <w:tcW w:w="19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EC03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P</w:t>
            </w:r>
            <w:r w:rsidR="00EC0328"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iastrine</w:t>
            </w: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(x10</w:t>
            </w: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  <w:vertAlign w:val="superscript"/>
              </w:rPr>
              <w:t>^9</w:t>
            </w: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/L)</w:t>
            </w:r>
          </w:p>
        </w:tc>
        <w:tc>
          <w:tcPr>
            <w:tcW w:w="13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0.001(-0.55)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0.0001(-0.66)</w:t>
            </w:r>
          </w:p>
        </w:tc>
        <w:tc>
          <w:tcPr>
            <w:tcW w:w="17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&lt;0.0001(-0.66)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0.003(-0.57)</w:t>
            </w: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&gt;0.1(-0.14)</w:t>
            </w:r>
          </w:p>
        </w:tc>
        <w:tc>
          <w:tcPr>
            <w:tcW w:w="14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&gt;0.1(-0.35)</w:t>
            </w:r>
          </w:p>
        </w:tc>
      </w:tr>
      <w:tr w:rsidR="00D26CAC" w:rsidRPr="00F93582" w:rsidTr="00A73283">
        <w:tc>
          <w:tcPr>
            <w:tcW w:w="19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Fibrinogen</w:t>
            </w:r>
            <w:r w:rsidR="00EC0328"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o</w:t>
            </w: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(mg/dL)</w:t>
            </w:r>
          </w:p>
        </w:tc>
        <w:tc>
          <w:tcPr>
            <w:tcW w:w="13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&gt;0.1(-0.32)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0.0014(-0.73)</w:t>
            </w:r>
          </w:p>
        </w:tc>
        <w:tc>
          <w:tcPr>
            <w:tcW w:w="17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0.008(-0.60)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0.0005(-0.74)</w:t>
            </w: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&gt;0.1(-0.38)</w:t>
            </w:r>
          </w:p>
        </w:tc>
        <w:tc>
          <w:tcPr>
            <w:tcW w:w="14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0.008(-0.61)</w:t>
            </w:r>
          </w:p>
        </w:tc>
      </w:tr>
      <w:tr w:rsidR="00D26CAC" w:rsidRPr="00F93582" w:rsidTr="00A73283">
        <w:tc>
          <w:tcPr>
            <w:tcW w:w="19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EC0328" w:rsidP="00EC03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Trigli</w:t>
            </w:r>
            <w:r w:rsidR="00472603"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cerid</w:t>
            </w: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i</w:t>
            </w:r>
            <w:r w:rsidR="00472603"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(mg/dL)</w:t>
            </w:r>
          </w:p>
        </w:tc>
        <w:tc>
          <w:tcPr>
            <w:tcW w:w="13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 (0.20)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 (0.23)</w:t>
            </w:r>
          </w:p>
        </w:tc>
        <w:tc>
          <w:tcPr>
            <w:tcW w:w="17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&gt;0.1(0.13)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&gt;0.1(0.29)</w:t>
            </w: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 (0.02)</w:t>
            </w:r>
          </w:p>
        </w:tc>
        <w:tc>
          <w:tcPr>
            <w:tcW w:w="14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 (0.17)</w:t>
            </w:r>
          </w:p>
        </w:tc>
      </w:tr>
      <w:tr w:rsidR="00D26CAC" w:rsidRPr="00F93582" w:rsidTr="00A73283">
        <w:tc>
          <w:tcPr>
            <w:tcW w:w="19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 LDH (U/L)</w:t>
            </w:r>
          </w:p>
        </w:tc>
        <w:tc>
          <w:tcPr>
            <w:tcW w:w="13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0.005(0.64)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&lt;0.0001(0.90)</w:t>
            </w:r>
          </w:p>
        </w:tc>
        <w:tc>
          <w:tcPr>
            <w:tcW w:w="17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&lt;0.0001(0.94)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0.002(0.69)</w:t>
            </w: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 (-0.23)</w:t>
            </w:r>
          </w:p>
        </w:tc>
        <w:tc>
          <w:tcPr>
            <w:tcW w:w="14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0.0001 (0.85)</w:t>
            </w:r>
          </w:p>
        </w:tc>
      </w:tr>
      <w:tr w:rsidR="00D26CAC" w:rsidRPr="00F93582" w:rsidTr="00A73283">
        <w:tc>
          <w:tcPr>
            <w:tcW w:w="19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 ALT (U/L)</w:t>
            </w:r>
          </w:p>
        </w:tc>
        <w:tc>
          <w:tcPr>
            <w:tcW w:w="13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0.012 (0.52)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0.0007 (0.68)</w:t>
            </w:r>
          </w:p>
        </w:tc>
        <w:tc>
          <w:tcPr>
            <w:tcW w:w="17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0.0005 (0.67)</w:t>
            </w:r>
          </w:p>
        </w:tc>
        <w:tc>
          <w:tcPr>
            <w:tcW w:w="15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0.008 (0.54)</w:t>
            </w: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 (0.38)</w:t>
            </w:r>
          </w:p>
        </w:tc>
        <w:tc>
          <w:tcPr>
            <w:tcW w:w="14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472603" w:rsidP="00217C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&gt;0.1 (0.14)</w:t>
            </w:r>
          </w:p>
        </w:tc>
      </w:tr>
      <w:tr w:rsidR="00D26CAC" w:rsidRPr="00F93582">
        <w:tc>
          <w:tcPr>
            <w:tcW w:w="10997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26CAC" w:rsidRPr="00F93582" w:rsidRDefault="00EC0328" w:rsidP="00EC03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 I valori sono espressi in </w:t>
            </w:r>
            <w:r w:rsidR="00472603" w:rsidRPr="00F93582">
              <w:rPr>
                <w:rFonts w:asciiTheme="minorHAnsi" w:eastAsia="Arial Unicode MS" w:hAnsiTheme="minorHAnsi" w:cstheme="minorHAnsi"/>
                <w:sz w:val="22"/>
                <w:szCs w:val="22"/>
              </w:rPr>
              <w:t>p value (r di Spearman)</w:t>
            </w:r>
          </w:p>
        </w:tc>
      </w:tr>
    </w:tbl>
    <w:p w:rsidR="004F520E" w:rsidRPr="00485AD8" w:rsidRDefault="004F520E" w:rsidP="00217C6A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jc w:val="both"/>
        <w:rPr>
          <w:rFonts w:asciiTheme="minorHAnsi" w:eastAsia="Arial Unicode MS" w:hAnsiTheme="minorHAnsi" w:cstheme="minorHAnsi"/>
          <w:b/>
          <w:sz w:val="24"/>
        </w:rPr>
      </w:pPr>
    </w:p>
    <w:p w:rsidR="00D26CAC" w:rsidRPr="00485AD8" w:rsidRDefault="00472603" w:rsidP="00217C6A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jc w:val="both"/>
        <w:rPr>
          <w:rFonts w:asciiTheme="minorHAnsi" w:eastAsia="Arial Unicode MS" w:hAnsiTheme="minorHAnsi" w:cstheme="minorHAnsi"/>
          <w:sz w:val="24"/>
        </w:rPr>
      </w:pPr>
      <w:r w:rsidRPr="00485AD8">
        <w:rPr>
          <w:rFonts w:asciiTheme="minorHAnsi" w:eastAsia="Arial Unicode MS" w:hAnsiTheme="minorHAnsi" w:cstheme="minorHAnsi"/>
          <w:b/>
          <w:sz w:val="24"/>
        </w:rPr>
        <w:t>Conclusion</w:t>
      </w:r>
      <w:r w:rsidR="00EC0328" w:rsidRPr="00485AD8">
        <w:rPr>
          <w:rFonts w:asciiTheme="minorHAnsi" w:eastAsia="Arial Unicode MS" w:hAnsiTheme="minorHAnsi" w:cstheme="minorHAnsi"/>
          <w:b/>
          <w:sz w:val="24"/>
        </w:rPr>
        <w:t>i</w:t>
      </w:r>
      <w:r w:rsidR="006A18A3" w:rsidRPr="00485AD8">
        <w:rPr>
          <w:rFonts w:asciiTheme="minorHAnsi" w:eastAsia="Arial Unicode MS" w:hAnsiTheme="minorHAnsi" w:cstheme="minorHAnsi"/>
          <w:b/>
          <w:sz w:val="24"/>
        </w:rPr>
        <w:t>.</w:t>
      </w:r>
      <w:r w:rsidRPr="00485AD8">
        <w:rPr>
          <w:rFonts w:asciiTheme="minorHAnsi" w:eastAsia="Arial Unicode MS" w:hAnsiTheme="minorHAnsi" w:cstheme="minorHAnsi"/>
          <w:sz w:val="24"/>
        </w:rPr>
        <w:t xml:space="preserve"> </w:t>
      </w:r>
      <w:r w:rsidR="00EC0328" w:rsidRPr="00485AD8">
        <w:rPr>
          <w:rFonts w:asciiTheme="minorHAnsi" w:eastAsia="Arial Unicode MS" w:hAnsiTheme="minorHAnsi" w:cstheme="minorHAnsi"/>
          <w:sz w:val="24"/>
        </w:rPr>
        <w:t xml:space="preserve">I livelli di </w:t>
      </w:r>
      <w:r w:rsidRPr="00485AD8">
        <w:rPr>
          <w:rFonts w:asciiTheme="minorHAnsi" w:eastAsia="Arial Unicode MS" w:hAnsiTheme="minorHAnsi" w:cstheme="minorHAnsi"/>
          <w:sz w:val="24"/>
        </w:rPr>
        <w:t>IFNγ</w:t>
      </w:r>
      <w:r w:rsidR="00EC0328" w:rsidRPr="00485AD8">
        <w:rPr>
          <w:rFonts w:asciiTheme="minorHAnsi" w:eastAsia="Arial Unicode MS" w:hAnsiTheme="minorHAnsi" w:cstheme="minorHAnsi"/>
          <w:sz w:val="24"/>
        </w:rPr>
        <w:t>, CXCL9, CXCL10, sCD25 e</w:t>
      </w:r>
      <w:r w:rsidRPr="00485AD8">
        <w:rPr>
          <w:rFonts w:asciiTheme="minorHAnsi" w:eastAsia="Arial Unicode MS" w:hAnsiTheme="minorHAnsi" w:cstheme="minorHAnsi"/>
          <w:sz w:val="24"/>
        </w:rPr>
        <w:t xml:space="preserve"> neopterin</w:t>
      </w:r>
      <w:r w:rsidR="00EC0328" w:rsidRPr="00485AD8">
        <w:rPr>
          <w:rFonts w:asciiTheme="minorHAnsi" w:eastAsia="Arial Unicode MS" w:hAnsiTheme="minorHAnsi" w:cstheme="minorHAnsi"/>
          <w:sz w:val="24"/>
        </w:rPr>
        <w:t xml:space="preserve">a sono più elevati durante la MAS e correlano con i parametri di laboratorio di gravità di malattia. I livelli di </w:t>
      </w:r>
      <w:r w:rsidRPr="00485AD8">
        <w:rPr>
          <w:rFonts w:asciiTheme="minorHAnsi" w:eastAsia="Arial Unicode MS" w:hAnsiTheme="minorHAnsi" w:cstheme="minorHAnsi"/>
          <w:sz w:val="24"/>
        </w:rPr>
        <w:t xml:space="preserve">IL-18 </w:t>
      </w:r>
      <w:r w:rsidR="00EC0328" w:rsidRPr="00485AD8">
        <w:rPr>
          <w:rFonts w:asciiTheme="minorHAnsi" w:eastAsia="Arial Unicode MS" w:hAnsiTheme="minorHAnsi" w:cstheme="minorHAnsi"/>
          <w:sz w:val="24"/>
        </w:rPr>
        <w:t xml:space="preserve">non correlano con </w:t>
      </w:r>
      <w:r w:rsidR="005B75A1">
        <w:rPr>
          <w:rFonts w:asciiTheme="minorHAnsi" w:eastAsia="Arial Unicode MS" w:hAnsiTheme="minorHAnsi" w:cstheme="minorHAnsi"/>
          <w:sz w:val="24"/>
        </w:rPr>
        <w:t>i</w:t>
      </w:r>
      <w:r w:rsidR="00EC0328" w:rsidRPr="00485AD8">
        <w:rPr>
          <w:rFonts w:asciiTheme="minorHAnsi" w:eastAsia="Arial Unicode MS" w:hAnsiTheme="minorHAnsi" w:cstheme="minorHAnsi"/>
          <w:sz w:val="24"/>
        </w:rPr>
        <w:t xml:space="preserve"> </w:t>
      </w:r>
      <w:r w:rsidR="00D20B9B">
        <w:rPr>
          <w:rFonts w:asciiTheme="minorHAnsi" w:eastAsia="Arial Unicode MS" w:hAnsiTheme="minorHAnsi" w:cstheme="minorHAnsi"/>
          <w:sz w:val="24"/>
        </w:rPr>
        <w:t>parame</w:t>
      </w:r>
      <w:r w:rsidR="00EC0328" w:rsidRPr="00485AD8">
        <w:rPr>
          <w:rFonts w:asciiTheme="minorHAnsi" w:eastAsia="Arial Unicode MS" w:hAnsiTheme="minorHAnsi" w:cstheme="minorHAnsi"/>
          <w:sz w:val="24"/>
        </w:rPr>
        <w:t xml:space="preserve">tri di laboratorio di MAS ma l’osservazione che i livelli di </w:t>
      </w:r>
      <w:r w:rsidRPr="00485AD8">
        <w:rPr>
          <w:rFonts w:asciiTheme="minorHAnsi" w:eastAsia="Arial Unicode MS" w:hAnsiTheme="minorHAnsi" w:cstheme="minorHAnsi"/>
          <w:sz w:val="24"/>
        </w:rPr>
        <w:t xml:space="preserve">IL-18 </w:t>
      </w:r>
      <w:r w:rsidR="00EC0328" w:rsidRPr="00485AD8">
        <w:rPr>
          <w:rFonts w:asciiTheme="minorHAnsi" w:eastAsia="Arial Unicode MS" w:hAnsiTheme="minorHAnsi" w:cstheme="minorHAnsi"/>
          <w:sz w:val="24"/>
        </w:rPr>
        <w:t>sono più elevati nei pazienti con storia di MAS è coerente con l’ipotesi che alti livelli di IL-18 possono predisporre alla MAS nei pazienti con AIGs</w:t>
      </w:r>
      <w:r w:rsidR="005B75A1">
        <w:rPr>
          <w:rFonts w:asciiTheme="minorHAnsi" w:eastAsia="Arial Unicode MS" w:hAnsiTheme="minorHAnsi" w:cstheme="minorHAnsi"/>
          <w:sz w:val="24"/>
        </w:rPr>
        <w:t>,</w:t>
      </w:r>
      <w:r w:rsidR="00EC0328" w:rsidRPr="00485AD8">
        <w:rPr>
          <w:rFonts w:asciiTheme="minorHAnsi" w:eastAsia="Arial Unicode MS" w:hAnsiTheme="minorHAnsi" w:cstheme="minorHAnsi"/>
          <w:sz w:val="24"/>
        </w:rPr>
        <w:t xml:space="preserve"> come ipotizzato da </w:t>
      </w:r>
      <w:r w:rsidR="00D26905">
        <w:rPr>
          <w:rFonts w:asciiTheme="minorHAnsi" w:eastAsia="Arial Unicode MS" w:hAnsiTheme="minorHAnsi" w:cstheme="minorHAnsi"/>
          <w:sz w:val="24"/>
        </w:rPr>
        <w:t xml:space="preserve">Shimizu </w:t>
      </w:r>
      <w:r w:rsidR="00E14232" w:rsidRPr="00D20B9B">
        <w:rPr>
          <w:rFonts w:asciiTheme="minorHAnsi" w:eastAsia="Arial Unicode MS" w:hAnsiTheme="minorHAnsi" w:cstheme="minorHAnsi"/>
          <w:sz w:val="24"/>
        </w:rPr>
        <w:t>(2</w:t>
      </w:r>
      <w:r w:rsidRPr="00D20B9B">
        <w:rPr>
          <w:rFonts w:asciiTheme="minorHAnsi" w:eastAsia="Arial Unicode MS" w:hAnsiTheme="minorHAnsi" w:cstheme="minorHAnsi"/>
          <w:sz w:val="24"/>
        </w:rPr>
        <w:t>).</w:t>
      </w:r>
      <w:r w:rsidRPr="00485AD8">
        <w:rPr>
          <w:rFonts w:asciiTheme="minorHAnsi" w:eastAsia="Arial Unicode MS" w:hAnsiTheme="minorHAnsi" w:cstheme="minorHAnsi"/>
          <w:sz w:val="24"/>
        </w:rPr>
        <w:t xml:space="preserve"> </w:t>
      </w:r>
      <w:r w:rsidR="004A4131">
        <w:rPr>
          <w:rFonts w:asciiTheme="minorHAnsi" w:eastAsia="Arial Unicode MS" w:hAnsiTheme="minorHAnsi" w:cstheme="minorHAnsi"/>
          <w:sz w:val="24"/>
        </w:rPr>
        <w:t>A</w:t>
      </w:r>
      <w:r w:rsidR="00485AD8" w:rsidRPr="00485AD8">
        <w:rPr>
          <w:rFonts w:asciiTheme="minorHAnsi" w:eastAsia="Arial Unicode MS" w:hAnsiTheme="minorHAnsi" w:cstheme="minorHAnsi"/>
          <w:sz w:val="24"/>
        </w:rPr>
        <w:t xml:space="preserve">lti livelli di </w:t>
      </w:r>
      <w:r w:rsidRPr="00485AD8">
        <w:rPr>
          <w:rFonts w:asciiTheme="minorHAnsi" w:eastAsia="Arial Unicode MS" w:hAnsiTheme="minorHAnsi" w:cstheme="minorHAnsi"/>
          <w:sz w:val="24"/>
        </w:rPr>
        <w:t>neopterin</w:t>
      </w:r>
      <w:r w:rsidR="00485AD8" w:rsidRPr="00485AD8">
        <w:rPr>
          <w:rFonts w:asciiTheme="minorHAnsi" w:eastAsia="Arial Unicode MS" w:hAnsiTheme="minorHAnsi" w:cstheme="minorHAnsi"/>
          <w:sz w:val="24"/>
        </w:rPr>
        <w:t>a e</w:t>
      </w:r>
      <w:r w:rsidRPr="00485AD8">
        <w:rPr>
          <w:rFonts w:asciiTheme="minorHAnsi" w:eastAsia="Arial Unicode MS" w:hAnsiTheme="minorHAnsi" w:cstheme="minorHAnsi"/>
          <w:sz w:val="24"/>
        </w:rPr>
        <w:t xml:space="preserve"> CXCL9, </w:t>
      </w:r>
      <w:r w:rsidR="005B75A1">
        <w:rPr>
          <w:rFonts w:asciiTheme="minorHAnsi" w:eastAsia="Arial Unicode MS" w:hAnsiTheme="minorHAnsi" w:cstheme="minorHAnsi"/>
          <w:sz w:val="24"/>
        </w:rPr>
        <w:t>che</w:t>
      </w:r>
      <w:r w:rsidR="00485AD8" w:rsidRPr="00485AD8">
        <w:rPr>
          <w:rFonts w:asciiTheme="minorHAnsi" w:eastAsia="Arial Unicode MS" w:hAnsiTheme="minorHAnsi" w:cstheme="minorHAnsi"/>
          <w:sz w:val="24"/>
        </w:rPr>
        <w:t xml:space="preserve"> riflettono entrambi la produzione di </w:t>
      </w:r>
      <w:r w:rsidRPr="00485AD8">
        <w:rPr>
          <w:rFonts w:asciiTheme="minorHAnsi" w:eastAsia="Arial Unicode MS" w:hAnsiTheme="minorHAnsi" w:cstheme="minorHAnsi"/>
          <w:sz w:val="24"/>
        </w:rPr>
        <w:t xml:space="preserve">IFNγ, </w:t>
      </w:r>
      <w:r w:rsidR="00485AD8" w:rsidRPr="00485AD8">
        <w:rPr>
          <w:rFonts w:asciiTheme="minorHAnsi" w:eastAsia="Arial Unicode MS" w:hAnsiTheme="minorHAnsi" w:cstheme="minorHAnsi"/>
          <w:sz w:val="24"/>
        </w:rPr>
        <w:t xml:space="preserve">e la loro correlazione con i parametri di laboratorio, supportano il ruolo patogenetico di </w:t>
      </w:r>
      <w:r w:rsidRPr="00485AD8">
        <w:rPr>
          <w:rFonts w:asciiTheme="minorHAnsi" w:eastAsia="Arial Unicode MS" w:hAnsiTheme="minorHAnsi" w:cstheme="minorHAnsi"/>
          <w:sz w:val="24"/>
        </w:rPr>
        <w:t>IFNγ</w:t>
      </w:r>
      <w:r w:rsidR="00485AD8" w:rsidRPr="00485AD8">
        <w:rPr>
          <w:rFonts w:asciiTheme="minorHAnsi" w:eastAsia="Arial Unicode MS" w:hAnsiTheme="minorHAnsi" w:cstheme="minorHAnsi"/>
          <w:sz w:val="24"/>
        </w:rPr>
        <w:t xml:space="preserve"> </w:t>
      </w:r>
      <w:r w:rsidR="007D69CF" w:rsidRPr="00485AD8">
        <w:rPr>
          <w:rFonts w:asciiTheme="minorHAnsi" w:eastAsia="Arial Unicode MS" w:hAnsiTheme="minorHAnsi" w:cstheme="minorHAnsi"/>
          <w:sz w:val="24"/>
        </w:rPr>
        <w:t>n</w:t>
      </w:r>
      <w:r w:rsidR="00485AD8" w:rsidRPr="00485AD8">
        <w:rPr>
          <w:rFonts w:asciiTheme="minorHAnsi" w:eastAsia="Arial Unicode MS" w:hAnsiTheme="minorHAnsi" w:cstheme="minorHAnsi"/>
          <w:sz w:val="24"/>
        </w:rPr>
        <w:t>ella</w:t>
      </w:r>
      <w:r w:rsidR="007D69CF" w:rsidRPr="00485AD8">
        <w:rPr>
          <w:rFonts w:asciiTheme="minorHAnsi" w:eastAsia="Arial Unicode MS" w:hAnsiTheme="minorHAnsi" w:cstheme="minorHAnsi"/>
          <w:sz w:val="24"/>
        </w:rPr>
        <w:t xml:space="preserve"> MAS.</w:t>
      </w:r>
      <w:r w:rsidRPr="00485AD8">
        <w:rPr>
          <w:rFonts w:asciiTheme="minorHAnsi" w:eastAsia="Arial Unicode MS" w:hAnsiTheme="minorHAnsi" w:cstheme="minorHAnsi"/>
          <w:sz w:val="24"/>
        </w:rPr>
        <w:t> </w:t>
      </w:r>
      <w:r w:rsidR="00485AD8" w:rsidRPr="00485AD8">
        <w:rPr>
          <w:rFonts w:asciiTheme="minorHAnsi" w:eastAsia="Arial Unicode MS" w:hAnsiTheme="minorHAnsi" w:cstheme="minorHAnsi"/>
          <w:sz w:val="24"/>
        </w:rPr>
        <w:t>Poiché i livelli circolanti di C</w:t>
      </w:r>
      <w:r w:rsidRPr="00485AD8">
        <w:rPr>
          <w:rFonts w:asciiTheme="minorHAnsi" w:eastAsia="Arial Unicode MS" w:hAnsiTheme="minorHAnsi" w:cstheme="minorHAnsi"/>
          <w:sz w:val="24"/>
        </w:rPr>
        <w:t xml:space="preserve">XCL9 </w:t>
      </w:r>
      <w:r w:rsidR="00485AD8" w:rsidRPr="00485AD8">
        <w:rPr>
          <w:rFonts w:asciiTheme="minorHAnsi" w:eastAsia="Arial Unicode MS" w:hAnsiTheme="minorHAnsi" w:cstheme="minorHAnsi"/>
          <w:sz w:val="24"/>
        </w:rPr>
        <w:t xml:space="preserve">riflettono la produzione tissutale di </w:t>
      </w:r>
      <w:r w:rsidRPr="00485AD8">
        <w:rPr>
          <w:rFonts w:asciiTheme="minorHAnsi" w:eastAsia="Arial Unicode MS" w:hAnsiTheme="minorHAnsi" w:cstheme="minorHAnsi"/>
          <w:sz w:val="24"/>
        </w:rPr>
        <w:t xml:space="preserve">IFNγ, </w:t>
      </w:r>
      <w:r w:rsidR="00485AD8" w:rsidRPr="00485AD8">
        <w:rPr>
          <w:rFonts w:asciiTheme="minorHAnsi" w:eastAsia="Arial Unicode MS" w:hAnsiTheme="minorHAnsi" w:cstheme="minorHAnsi"/>
          <w:sz w:val="24"/>
        </w:rPr>
        <w:t xml:space="preserve">il </w:t>
      </w:r>
      <w:r w:rsidR="005B75A1" w:rsidRPr="00485AD8">
        <w:rPr>
          <w:rFonts w:asciiTheme="minorHAnsi" w:eastAsia="Arial Unicode MS" w:hAnsiTheme="minorHAnsi" w:cstheme="minorHAnsi"/>
          <w:sz w:val="24"/>
        </w:rPr>
        <w:t>riscontro</w:t>
      </w:r>
      <w:r w:rsidR="00485AD8" w:rsidRPr="00485AD8">
        <w:rPr>
          <w:rFonts w:asciiTheme="minorHAnsi" w:eastAsia="Arial Unicode MS" w:hAnsiTheme="minorHAnsi" w:cstheme="minorHAnsi"/>
          <w:sz w:val="24"/>
        </w:rPr>
        <w:t xml:space="preserve"> di alti livelli di CXCL9 nei pazienti con storia di MAS, ma senza MAS al momento del prelievo, suggeriscono l’attivazione subclinica della pathway di </w:t>
      </w:r>
      <w:r w:rsidRPr="00485AD8">
        <w:rPr>
          <w:rFonts w:asciiTheme="minorHAnsi" w:eastAsia="Arial Unicode MS" w:hAnsiTheme="minorHAnsi" w:cstheme="minorHAnsi"/>
          <w:sz w:val="24"/>
        </w:rPr>
        <w:t>IFN</w:t>
      </w:r>
      <w:r w:rsidR="00217C6A" w:rsidRPr="00485AD8">
        <w:rPr>
          <w:rFonts w:asciiTheme="minorHAnsi" w:eastAsia="Arial Unicode MS" w:hAnsiTheme="minorHAnsi" w:cstheme="minorHAnsi"/>
          <w:sz w:val="24"/>
        </w:rPr>
        <w:t>γ</w:t>
      </w:r>
      <w:r w:rsidRPr="00485AD8">
        <w:rPr>
          <w:rFonts w:asciiTheme="minorHAnsi" w:eastAsia="Arial Unicode MS" w:hAnsiTheme="minorHAnsi" w:cstheme="minorHAnsi"/>
          <w:sz w:val="24"/>
        </w:rPr>
        <w:t xml:space="preserve"> </w:t>
      </w:r>
      <w:r w:rsidR="00485AD8" w:rsidRPr="00485AD8">
        <w:rPr>
          <w:rFonts w:asciiTheme="minorHAnsi" w:eastAsia="Arial Unicode MS" w:hAnsiTheme="minorHAnsi" w:cstheme="minorHAnsi"/>
          <w:sz w:val="24"/>
        </w:rPr>
        <w:t xml:space="preserve">in questi pazienti. </w:t>
      </w:r>
    </w:p>
    <w:p w:rsidR="00D26CAC" w:rsidRPr="00485AD8" w:rsidRDefault="005B75A1" w:rsidP="00217C6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eastAsia="Arial Unicode MS" w:hAnsiTheme="minorHAnsi" w:cstheme="minorHAnsi"/>
          <w:b/>
          <w:sz w:val="24"/>
        </w:rPr>
        <w:t>Bibliografia</w:t>
      </w:r>
    </w:p>
    <w:p w:rsidR="00E14232" w:rsidRPr="00485AD8" w:rsidRDefault="00472603" w:rsidP="00217C6A">
      <w:pPr>
        <w:jc w:val="both"/>
        <w:rPr>
          <w:rFonts w:asciiTheme="minorHAnsi" w:eastAsia="Arial Unicode MS" w:hAnsiTheme="minorHAnsi" w:cstheme="minorHAnsi"/>
          <w:sz w:val="24"/>
        </w:rPr>
      </w:pPr>
      <w:r w:rsidRPr="00485AD8">
        <w:rPr>
          <w:rFonts w:asciiTheme="minorHAnsi" w:eastAsia="Arial Unicode MS" w:hAnsiTheme="minorHAnsi" w:cstheme="minorHAnsi"/>
          <w:sz w:val="24"/>
        </w:rPr>
        <w:t xml:space="preserve">1. </w:t>
      </w:r>
      <w:r w:rsidR="00D20B9B">
        <w:rPr>
          <w:rFonts w:asciiTheme="minorHAnsi" w:eastAsia="Arial Unicode MS" w:hAnsiTheme="minorHAnsi" w:cstheme="minorHAnsi"/>
          <w:sz w:val="24"/>
        </w:rPr>
        <w:t xml:space="preserve"> Bracaglia C</w:t>
      </w:r>
      <w:r w:rsidR="00E14232" w:rsidRPr="00485AD8">
        <w:rPr>
          <w:rFonts w:asciiTheme="minorHAnsi" w:eastAsia="Arial Unicode MS" w:hAnsiTheme="minorHAnsi" w:cstheme="minorHAnsi"/>
          <w:sz w:val="24"/>
        </w:rPr>
        <w:t>. et al.</w:t>
      </w:r>
      <w:r w:rsidR="00E14232" w:rsidRPr="00485AD8">
        <w:rPr>
          <w:rFonts w:asciiTheme="minorHAnsi" w:hAnsiTheme="minorHAnsi" w:cstheme="minorHAnsi"/>
          <w:sz w:val="24"/>
        </w:rPr>
        <w:t xml:space="preserve"> Ann Rheum Dis</w:t>
      </w:r>
      <w:r w:rsidR="00E14232" w:rsidRPr="00485AD8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2016</w:t>
      </w:r>
    </w:p>
    <w:p w:rsidR="00D26CAC" w:rsidRPr="00485AD8" w:rsidRDefault="00E14232" w:rsidP="00217C6A">
      <w:pPr>
        <w:jc w:val="both"/>
        <w:rPr>
          <w:rFonts w:asciiTheme="minorHAnsi" w:hAnsiTheme="minorHAnsi" w:cstheme="minorHAnsi"/>
          <w:sz w:val="24"/>
        </w:rPr>
      </w:pPr>
      <w:r w:rsidRPr="00485AD8">
        <w:rPr>
          <w:rFonts w:asciiTheme="minorHAnsi" w:eastAsia="Arial Unicode MS" w:hAnsiTheme="minorHAnsi" w:cstheme="minorHAnsi"/>
          <w:sz w:val="24"/>
        </w:rPr>
        <w:t xml:space="preserve">2. </w:t>
      </w:r>
      <w:r w:rsidR="00472603" w:rsidRPr="00485AD8">
        <w:rPr>
          <w:rFonts w:asciiTheme="minorHAnsi" w:eastAsia="Arial Unicode MS" w:hAnsiTheme="minorHAnsi" w:cstheme="minorHAnsi"/>
          <w:sz w:val="24"/>
        </w:rPr>
        <w:t xml:space="preserve">Shimizu M. </w:t>
      </w:r>
      <w:r w:rsidR="00D20B9B">
        <w:rPr>
          <w:rFonts w:asciiTheme="minorHAnsi" w:eastAsia="Arial Unicode MS" w:hAnsiTheme="minorHAnsi" w:cstheme="minorHAnsi"/>
          <w:sz w:val="24"/>
        </w:rPr>
        <w:t xml:space="preserve">et al </w:t>
      </w:r>
      <w:r w:rsidR="00472603" w:rsidRPr="00485AD8">
        <w:rPr>
          <w:rFonts w:asciiTheme="minorHAnsi" w:eastAsia="Arial Unicode MS" w:hAnsiTheme="minorHAnsi" w:cstheme="minorHAnsi"/>
          <w:sz w:val="24"/>
        </w:rPr>
        <w:t>Clin</w:t>
      </w:r>
      <w:r w:rsidR="00485AD8" w:rsidRPr="00485AD8">
        <w:rPr>
          <w:rFonts w:asciiTheme="minorHAnsi" w:eastAsia="Arial Unicode MS" w:hAnsiTheme="minorHAnsi" w:cstheme="minorHAnsi"/>
          <w:sz w:val="24"/>
        </w:rPr>
        <w:t xml:space="preserve"> </w:t>
      </w:r>
      <w:r w:rsidR="00472603" w:rsidRPr="00485AD8">
        <w:rPr>
          <w:rFonts w:asciiTheme="minorHAnsi" w:eastAsia="Arial Unicode MS" w:hAnsiTheme="minorHAnsi" w:cstheme="minorHAnsi"/>
          <w:sz w:val="24"/>
        </w:rPr>
        <w:t>immunol 2015</w:t>
      </w:r>
    </w:p>
    <w:p w:rsidR="00D26CAC" w:rsidRPr="00485AD8" w:rsidRDefault="00D26CAC" w:rsidP="00217C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 Unicode MS" w:hAnsiTheme="minorHAnsi" w:cstheme="minorHAnsi"/>
          <w:sz w:val="24"/>
        </w:rPr>
      </w:pPr>
    </w:p>
    <w:sectPr w:rsidR="00D26CAC" w:rsidRPr="00485AD8" w:rsidSect="00D26C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524" w:rsidRDefault="00065524" w:rsidP="00D26CAC">
      <w:r>
        <w:separator/>
      </w:r>
    </w:p>
  </w:endnote>
  <w:endnote w:type="continuationSeparator" w:id="1">
    <w:p w:rsidR="00065524" w:rsidRDefault="00065524" w:rsidP="00D2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AC" w:rsidRDefault="00D26CA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AC" w:rsidRDefault="00D26CAC"/>
  <w:p w:rsidR="00CA20D2" w:rsidRDefault="00CA20D2"/>
  <w:p w:rsidR="00D26CAC" w:rsidRDefault="00D26CA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AC" w:rsidRDefault="00D26C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524" w:rsidRDefault="00065524" w:rsidP="00D26CAC">
      <w:r>
        <w:separator/>
      </w:r>
    </w:p>
  </w:footnote>
  <w:footnote w:type="continuationSeparator" w:id="1">
    <w:p w:rsidR="00065524" w:rsidRDefault="00065524" w:rsidP="00D26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AC" w:rsidRDefault="00D26CA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AC" w:rsidRDefault="00D26CAC"/>
  <w:p w:rsidR="00CA20D2" w:rsidRDefault="00CA20D2"/>
  <w:p w:rsidR="00D26CAC" w:rsidRDefault="00D26CA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AC" w:rsidRDefault="00D26CA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CAC"/>
    <w:rsid w:val="0000243D"/>
    <w:rsid w:val="00020CB3"/>
    <w:rsid w:val="0003123E"/>
    <w:rsid w:val="00065524"/>
    <w:rsid w:val="000D013E"/>
    <w:rsid w:val="000D50A8"/>
    <w:rsid w:val="0013204E"/>
    <w:rsid w:val="00154CEF"/>
    <w:rsid w:val="001720A6"/>
    <w:rsid w:val="00217C6A"/>
    <w:rsid w:val="00316DF6"/>
    <w:rsid w:val="003A0044"/>
    <w:rsid w:val="003D30DF"/>
    <w:rsid w:val="00472603"/>
    <w:rsid w:val="00485AD8"/>
    <w:rsid w:val="004A4131"/>
    <w:rsid w:val="004F520E"/>
    <w:rsid w:val="0053766B"/>
    <w:rsid w:val="00564B61"/>
    <w:rsid w:val="005B75A1"/>
    <w:rsid w:val="006820B4"/>
    <w:rsid w:val="006A18A3"/>
    <w:rsid w:val="006B18F8"/>
    <w:rsid w:val="006D644A"/>
    <w:rsid w:val="007D69CF"/>
    <w:rsid w:val="00803E02"/>
    <w:rsid w:val="00833973"/>
    <w:rsid w:val="00991777"/>
    <w:rsid w:val="009E630D"/>
    <w:rsid w:val="00A73283"/>
    <w:rsid w:val="00AF43EE"/>
    <w:rsid w:val="00B134CA"/>
    <w:rsid w:val="00B32002"/>
    <w:rsid w:val="00B71241"/>
    <w:rsid w:val="00BB6AAA"/>
    <w:rsid w:val="00BC7EFE"/>
    <w:rsid w:val="00CA20D2"/>
    <w:rsid w:val="00CF7138"/>
    <w:rsid w:val="00D20B9B"/>
    <w:rsid w:val="00D26905"/>
    <w:rsid w:val="00D26CAC"/>
    <w:rsid w:val="00DF2A8B"/>
    <w:rsid w:val="00E14232"/>
    <w:rsid w:val="00E806CC"/>
    <w:rsid w:val="00EC0328"/>
    <w:rsid w:val="00EC6E7B"/>
    <w:rsid w:val="00EE6E7B"/>
    <w:rsid w:val="00F81CB4"/>
    <w:rsid w:val="00F9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D26CAC"/>
    <w:rPr>
      <w:rFonts w:ascii="Arial" w:hAnsi="Arial"/>
      <w:szCs w:val="24"/>
    </w:rPr>
  </w:style>
  <w:style w:type="paragraph" w:styleId="Titolo1">
    <w:name w:val="heading 1"/>
    <w:qFormat/>
    <w:rsid w:val="00D26CAC"/>
    <w:pPr>
      <w:outlineLvl w:val="0"/>
    </w:pPr>
    <w:rPr>
      <w:rFonts w:ascii="Arial Unicode MS" w:eastAsia="Arial Unicode MS" w:hAnsi="Arial Unicode MS" w:cs="Arial Unicode MS"/>
      <w:lang w:val="en-US" w:eastAsia="en-US" w:bidi="en-US"/>
    </w:rPr>
  </w:style>
  <w:style w:type="paragraph" w:styleId="Titolo2">
    <w:name w:val="heading 2"/>
    <w:qFormat/>
    <w:rsid w:val="00D26CAC"/>
    <w:pPr>
      <w:outlineLvl w:val="1"/>
    </w:pPr>
    <w:rPr>
      <w:rFonts w:ascii="Arial Unicode MS" w:eastAsia="Arial Unicode MS" w:hAnsi="Arial Unicode MS" w:cs="Arial Unicode MS"/>
      <w:lang w:val="en-US" w:eastAsia="en-US" w:bidi="en-US"/>
    </w:rPr>
  </w:style>
  <w:style w:type="paragraph" w:styleId="Titolo3">
    <w:name w:val="heading 3"/>
    <w:qFormat/>
    <w:rsid w:val="00D26CAC"/>
    <w:pPr>
      <w:outlineLvl w:val="2"/>
    </w:pPr>
    <w:rPr>
      <w:rFonts w:ascii="Arial Unicode MS" w:eastAsia="Arial Unicode MS" w:hAnsi="Arial Unicode MS" w:cs="Arial Unicode MS"/>
      <w:lang w:val="en-US" w:eastAsia="en-US" w:bidi="en-US"/>
    </w:rPr>
  </w:style>
  <w:style w:type="paragraph" w:styleId="Titolo4">
    <w:name w:val="heading 4"/>
    <w:qFormat/>
    <w:rsid w:val="00D26CAC"/>
    <w:pPr>
      <w:outlineLvl w:val="3"/>
    </w:pPr>
    <w:rPr>
      <w:rFonts w:ascii="Arial Unicode MS" w:eastAsia="Arial Unicode MS" w:hAnsi="Arial Unicode MS" w:cs="Arial Unicode MS"/>
      <w:lang w:val="en-US" w:eastAsia="en-US" w:bidi="en-US"/>
    </w:rPr>
  </w:style>
  <w:style w:type="paragraph" w:styleId="Titolo5">
    <w:name w:val="heading 5"/>
    <w:qFormat/>
    <w:rsid w:val="00D26CAC"/>
    <w:pPr>
      <w:outlineLvl w:val="4"/>
    </w:pPr>
    <w:rPr>
      <w:rFonts w:ascii="Arial Unicode MS" w:eastAsia="Arial Unicode MS" w:hAnsi="Arial Unicode MS" w:cs="Arial Unicode MS"/>
      <w:lang w:val="en-US" w:eastAsia="en-US" w:bidi="en-US"/>
    </w:rPr>
  </w:style>
  <w:style w:type="paragraph" w:styleId="Titolo6">
    <w:name w:val="heading 6"/>
    <w:qFormat/>
    <w:rsid w:val="00D26CAC"/>
    <w:pPr>
      <w:outlineLvl w:val="5"/>
    </w:pPr>
    <w:rPr>
      <w:rFonts w:ascii="Arial Unicode MS" w:eastAsia="Arial Unicode MS" w:hAnsi="Arial Unicode MS" w:cs="Arial Unicode MS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26CAC"/>
    <w:pPr>
      <w:pBdr>
        <w:top w:val="nil"/>
        <w:left w:val="nil"/>
        <w:bottom w:val="nil"/>
        <w:right w:val="nil"/>
        <w:between w:val="nil"/>
      </w:pBdr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D26CAC"/>
    <w:pPr>
      <w:pBdr>
        <w:top w:val="nil"/>
        <w:left w:val="nil"/>
        <w:bottom w:val="nil"/>
        <w:right w:val="nil"/>
        <w:between w:val="nil"/>
      </w:pBdr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26C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26CAC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rsid w:val="00D26CAC"/>
    <w:rPr>
      <w:rFonts w:ascii="Arial" w:hAnsi="Arial"/>
      <w:szCs w:val="24"/>
    </w:rPr>
  </w:style>
  <w:style w:type="paragraph" w:styleId="Pidipagina">
    <w:name w:val="footer"/>
    <w:basedOn w:val="Normale"/>
    <w:link w:val="PidipaginaCarattere"/>
    <w:rsid w:val="00D26CAC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rsid w:val="00D26CAC"/>
    <w:rPr>
      <w:rFonts w:ascii="Arial" w:hAnsi="Arial"/>
      <w:szCs w:val="24"/>
    </w:rPr>
  </w:style>
  <w:style w:type="character" w:customStyle="1" w:styleId="DefaultParagraphFont">
    <w:name w:val="DefaultParagraphFont"/>
    <w:rsid w:val="00D26CAC"/>
    <w:rPr>
      <w:rFonts w:ascii="Times New Roman"/>
      <w:sz w:val="24"/>
      <w:szCs w:val="24"/>
    </w:rPr>
  </w:style>
  <w:style w:type="character" w:styleId="Rimandocommento">
    <w:name w:val="annotation reference"/>
    <w:basedOn w:val="Carpredefinitoparagrafo"/>
    <w:rsid w:val="004F520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F520E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F520E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4F52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F520E"/>
    <w:rPr>
      <w:rFonts w:ascii="Arial" w:hAnsi="Arial"/>
      <w:b/>
      <w:bCs/>
    </w:rPr>
  </w:style>
  <w:style w:type="character" w:customStyle="1" w:styleId="jrnl">
    <w:name w:val="jrnl"/>
    <w:basedOn w:val="Carpredefinitoparagrafo"/>
    <w:rsid w:val="00E142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MCI Suisse SA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Bracaglia Claudia</dc:creator>
  <cp:lastModifiedBy>Barbara</cp:lastModifiedBy>
  <cp:revision>2</cp:revision>
  <cp:lastPrinted>2016-06-20T14:11:00Z</cp:lastPrinted>
  <dcterms:created xsi:type="dcterms:W3CDTF">2017-03-08T08:41:00Z</dcterms:created>
  <dcterms:modified xsi:type="dcterms:W3CDTF">2017-03-08T08:41:00Z</dcterms:modified>
</cp:coreProperties>
</file>