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E5" w:rsidRDefault="008A3C59" w:rsidP="00D57BEB">
      <w:pPr>
        <w:spacing w:after="0"/>
        <w:jc w:val="both"/>
        <w:rPr>
          <w:b/>
        </w:rPr>
      </w:pPr>
      <w:r>
        <w:rPr>
          <w:b/>
        </w:rPr>
        <w:t>Le cellule T doppio negative sono aumentate nel sangue periferico dei bambini con AIG e la loro espansione si associa con la remissione clinica della malattia.</w:t>
      </w:r>
    </w:p>
    <w:p w:rsidR="002255E5" w:rsidRDefault="002255E5" w:rsidP="00D57BEB">
      <w:pPr>
        <w:spacing w:after="0"/>
        <w:jc w:val="both"/>
        <w:rPr>
          <w:b/>
        </w:rPr>
      </w:pPr>
    </w:p>
    <w:p w:rsidR="001C0181" w:rsidRPr="00DF67FC" w:rsidRDefault="001C0181" w:rsidP="001C0181">
      <w:pPr>
        <w:jc w:val="both"/>
        <w:rPr>
          <w:rFonts w:ascii="Times New Roman" w:hAnsi="Times New Roman" w:cs="Times New Roman"/>
          <w:b/>
          <w:sz w:val="24"/>
          <w:szCs w:val="24"/>
        </w:rPr>
      </w:pPr>
      <w:r w:rsidRPr="00DF67FC">
        <w:rPr>
          <w:rFonts w:ascii="Times New Roman" w:hAnsi="Times New Roman" w:cs="Times New Roman"/>
          <w:b/>
          <w:sz w:val="24"/>
          <w:szCs w:val="24"/>
        </w:rPr>
        <w:t xml:space="preserve">Angela </w:t>
      </w:r>
      <w:proofErr w:type="spellStart"/>
      <w:r w:rsidRPr="00DF67FC">
        <w:rPr>
          <w:rFonts w:ascii="Times New Roman" w:hAnsi="Times New Roman" w:cs="Times New Roman"/>
          <w:b/>
          <w:sz w:val="24"/>
          <w:szCs w:val="24"/>
        </w:rPr>
        <w:t>Aquilani</w:t>
      </w:r>
      <w:r w:rsidRPr="00DF67FC">
        <w:rPr>
          <w:rFonts w:ascii="Times New Roman" w:hAnsi="Times New Roman" w:cs="Times New Roman"/>
          <w:b/>
          <w:sz w:val="24"/>
          <w:szCs w:val="24"/>
          <w:vertAlign w:val="superscript"/>
        </w:rPr>
        <w:t>*</w:t>
      </w:r>
      <w:proofErr w:type="spellEnd"/>
      <w:r w:rsidRPr="00DF67FC">
        <w:rPr>
          <w:rFonts w:ascii="Times New Roman" w:hAnsi="Times New Roman" w:cs="Times New Roman"/>
          <w:b/>
          <w:sz w:val="24"/>
          <w:szCs w:val="24"/>
        </w:rPr>
        <w:t xml:space="preserve">, Emiliano </w:t>
      </w:r>
      <w:proofErr w:type="spellStart"/>
      <w:r w:rsidRPr="00DF67FC">
        <w:rPr>
          <w:rFonts w:ascii="Times New Roman" w:hAnsi="Times New Roman" w:cs="Times New Roman"/>
          <w:b/>
          <w:sz w:val="24"/>
          <w:szCs w:val="24"/>
        </w:rPr>
        <w:t>Marasco</w:t>
      </w:r>
      <w:r w:rsidRPr="00DF67FC">
        <w:rPr>
          <w:rFonts w:ascii="Times New Roman" w:hAnsi="Times New Roman" w:cs="Times New Roman"/>
          <w:b/>
          <w:sz w:val="24"/>
          <w:szCs w:val="24"/>
          <w:vertAlign w:val="superscript"/>
        </w:rPr>
        <w:t>*</w:t>
      </w:r>
      <w:proofErr w:type="spellEnd"/>
      <w:r w:rsidRPr="00DF67FC">
        <w:rPr>
          <w:rFonts w:ascii="Times New Roman" w:hAnsi="Times New Roman" w:cs="Times New Roman"/>
          <w:b/>
          <w:sz w:val="24"/>
          <w:szCs w:val="24"/>
        </w:rPr>
        <w:t>, Simona</w:t>
      </w:r>
      <w:r w:rsidR="00D73698">
        <w:rPr>
          <w:rFonts w:ascii="Times New Roman" w:hAnsi="Times New Roman" w:cs="Times New Roman"/>
          <w:b/>
          <w:sz w:val="24"/>
          <w:szCs w:val="24"/>
        </w:rPr>
        <w:t xml:space="preserve"> </w:t>
      </w:r>
      <w:proofErr w:type="spellStart"/>
      <w:r w:rsidRPr="00DF67FC">
        <w:rPr>
          <w:rFonts w:ascii="Times New Roman" w:hAnsi="Times New Roman" w:cs="Times New Roman"/>
          <w:b/>
          <w:sz w:val="24"/>
          <w:szCs w:val="24"/>
        </w:rPr>
        <w:t>Cascioli</w:t>
      </w:r>
      <w:proofErr w:type="spellEnd"/>
      <w:r w:rsidRPr="00DF67FC">
        <w:rPr>
          <w:rFonts w:ascii="Times New Roman" w:hAnsi="Times New Roman" w:cs="Times New Roman"/>
          <w:b/>
          <w:sz w:val="24"/>
          <w:szCs w:val="24"/>
        </w:rPr>
        <w:t xml:space="preserve">, Ivan </w:t>
      </w:r>
      <w:proofErr w:type="spellStart"/>
      <w:r w:rsidRPr="00DF67FC">
        <w:rPr>
          <w:rFonts w:ascii="Times New Roman" w:hAnsi="Times New Roman" w:cs="Times New Roman"/>
          <w:b/>
          <w:sz w:val="24"/>
          <w:szCs w:val="24"/>
        </w:rPr>
        <w:t>Caiello</w:t>
      </w:r>
      <w:proofErr w:type="spellEnd"/>
      <w:r w:rsidRPr="00DF67FC">
        <w:rPr>
          <w:rFonts w:ascii="Times New Roman" w:hAnsi="Times New Roman" w:cs="Times New Roman"/>
          <w:b/>
          <w:sz w:val="24"/>
          <w:szCs w:val="24"/>
        </w:rPr>
        <w:t xml:space="preserve">, Gian Marco Moneta, Denise </w:t>
      </w:r>
      <w:proofErr w:type="spellStart"/>
      <w:r w:rsidRPr="00DF67FC">
        <w:rPr>
          <w:rFonts w:ascii="Times New Roman" w:hAnsi="Times New Roman" w:cs="Times New Roman"/>
          <w:b/>
          <w:sz w:val="24"/>
          <w:szCs w:val="24"/>
        </w:rPr>
        <w:t>Pires-Marafon</w:t>
      </w:r>
      <w:proofErr w:type="spellEnd"/>
      <w:r w:rsidRPr="00DF67FC">
        <w:rPr>
          <w:rFonts w:ascii="Times New Roman" w:hAnsi="Times New Roman" w:cs="Times New Roman"/>
          <w:b/>
          <w:sz w:val="24"/>
          <w:szCs w:val="24"/>
        </w:rPr>
        <w:t>,</w:t>
      </w:r>
      <w:r w:rsidR="00F956DF">
        <w:rPr>
          <w:rFonts w:ascii="Times New Roman" w:hAnsi="Times New Roman" w:cs="Times New Roman"/>
          <w:b/>
          <w:sz w:val="24"/>
          <w:szCs w:val="24"/>
        </w:rPr>
        <w:t xml:space="preserve"> </w:t>
      </w:r>
      <w:r w:rsidRPr="00DF67FC">
        <w:rPr>
          <w:rFonts w:ascii="Times New Roman" w:hAnsi="Times New Roman" w:cs="Times New Roman"/>
          <w:b/>
          <w:sz w:val="24"/>
          <w:szCs w:val="24"/>
        </w:rPr>
        <w:t xml:space="preserve">Silvia </w:t>
      </w:r>
      <w:proofErr w:type="spellStart"/>
      <w:r w:rsidRPr="00DF67FC">
        <w:rPr>
          <w:rFonts w:ascii="Times New Roman" w:hAnsi="Times New Roman" w:cs="Times New Roman"/>
          <w:b/>
          <w:sz w:val="24"/>
          <w:szCs w:val="24"/>
        </w:rPr>
        <w:t>Magni-Manzoni</w:t>
      </w:r>
      <w:proofErr w:type="spellEnd"/>
      <w:r w:rsidRPr="00DF67FC">
        <w:rPr>
          <w:rFonts w:ascii="Times New Roman" w:hAnsi="Times New Roman" w:cs="Times New Roman"/>
          <w:b/>
          <w:sz w:val="24"/>
          <w:szCs w:val="24"/>
        </w:rPr>
        <w:t xml:space="preserve">, Rita </w:t>
      </w:r>
      <w:proofErr w:type="spellStart"/>
      <w:r w:rsidRPr="00DF67FC">
        <w:rPr>
          <w:rFonts w:ascii="Times New Roman" w:hAnsi="Times New Roman" w:cs="Times New Roman"/>
          <w:b/>
          <w:sz w:val="24"/>
          <w:szCs w:val="24"/>
        </w:rPr>
        <w:t>Carsetti</w:t>
      </w:r>
      <w:proofErr w:type="spellEnd"/>
      <w:r w:rsidRPr="00DF67FC">
        <w:rPr>
          <w:rFonts w:ascii="Times New Roman" w:hAnsi="Times New Roman" w:cs="Times New Roman"/>
          <w:b/>
          <w:sz w:val="24"/>
          <w:szCs w:val="24"/>
        </w:rPr>
        <w:t xml:space="preserve">, </w:t>
      </w:r>
      <w:r w:rsidR="00D73698">
        <w:rPr>
          <w:rFonts w:ascii="Times New Roman" w:hAnsi="Times New Roman" w:cs="Times New Roman"/>
          <w:b/>
          <w:sz w:val="24"/>
          <w:szCs w:val="24"/>
        </w:rPr>
        <w:t xml:space="preserve">                         </w:t>
      </w:r>
      <w:r w:rsidRPr="00DF67FC">
        <w:rPr>
          <w:rFonts w:ascii="Times New Roman" w:hAnsi="Times New Roman" w:cs="Times New Roman"/>
          <w:b/>
          <w:sz w:val="24"/>
          <w:szCs w:val="24"/>
        </w:rPr>
        <w:t>Fabrizio De Benedetti</w:t>
      </w:r>
    </w:p>
    <w:p w:rsidR="001C0181" w:rsidRPr="00E76CEE" w:rsidRDefault="001C0181" w:rsidP="001C0181">
      <w:pPr>
        <w:tabs>
          <w:tab w:val="left" w:pos="1356"/>
        </w:tabs>
        <w:spacing w:after="0"/>
        <w:jc w:val="both"/>
        <w:rPr>
          <w:rFonts w:ascii="Times New Roman" w:eastAsia="Times New Roman" w:hAnsi="Times New Roman" w:cs="Times New Roman"/>
          <w:i/>
          <w:iCs/>
          <w:sz w:val="24"/>
          <w:szCs w:val="24"/>
          <w:shd w:val="clear" w:color="auto" w:fill="FFFFFF"/>
        </w:rPr>
      </w:pPr>
      <w:r w:rsidRPr="00E76CEE">
        <w:rPr>
          <w:rFonts w:ascii="Times New Roman"/>
          <w:i/>
          <w:iCs/>
          <w:sz w:val="24"/>
          <w:szCs w:val="24"/>
          <w:shd w:val="clear" w:color="auto" w:fill="FFFFFF"/>
        </w:rPr>
        <w:t>UOC di Reumatologia, Dipartimento di Pediatria Specialistica,Ospedale Pediatrico Bambino Ges</w:t>
      </w:r>
      <w:r w:rsidRPr="00E76CEE">
        <w:rPr>
          <w:rFonts w:ascii="Times New Roman"/>
          <w:i/>
          <w:iCs/>
          <w:sz w:val="24"/>
          <w:szCs w:val="24"/>
          <w:shd w:val="clear" w:color="auto" w:fill="FFFFFF"/>
        </w:rPr>
        <w:t>ù</w:t>
      </w:r>
      <w:r w:rsidRPr="00E76CEE">
        <w:rPr>
          <w:rFonts w:ascii="Times New Roman"/>
          <w:i/>
          <w:iCs/>
          <w:sz w:val="24"/>
          <w:szCs w:val="24"/>
          <w:shd w:val="clear" w:color="auto" w:fill="FFFFFF"/>
        </w:rPr>
        <w:t>, IRCCS, Roma Italia</w:t>
      </w:r>
    </w:p>
    <w:p w:rsidR="001C0181" w:rsidRPr="0011675C" w:rsidRDefault="001C0181" w:rsidP="001C0181">
      <w:pPr>
        <w:jc w:val="both"/>
        <w:rPr>
          <w:rFonts w:ascii="Times New Roman" w:hAnsi="Times New Roman" w:cs="Times New Roman"/>
        </w:rPr>
      </w:pPr>
      <w:proofErr w:type="spellStart"/>
      <w:r w:rsidRPr="00DF67FC">
        <w:rPr>
          <w:rFonts w:ascii="Times New Roman" w:hAnsi="Times New Roman" w:cs="Times New Roman"/>
        </w:rPr>
        <w:t>*Questi</w:t>
      </w:r>
      <w:proofErr w:type="spellEnd"/>
      <w:r>
        <w:rPr>
          <w:rFonts w:ascii="Times New Roman" w:hAnsi="Times New Roman" w:cs="Times New Roman"/>
        </w:rPr>
        <w:t xml:space="preserve"> </w:t>
      </w:r>
      <w:r w:rsidRPr="00DF67FC">
        <w:rPr>
          <w:rFonts w:ascii="Times New Roman" w:hAnsi="Times New Roman" w:cs="Times New Roman"/>
        </w:rPr>
        <w:t>autori hanno ugualm</w:t>
      </w:r>
      <w:r>
        <w:rPr>
          <w:rFonts w:ascii="Times New Roman" w:hAnsi="Times New Roman" w:cs="Times New Roman"/>
        </w:rPr>
        <w:t>e</w:t>
      </w:r>
      <w:r w:rsidRPr="00DF67FC">
        <w:rPr>
          <w:rFonts w:ascii="Times New Roman" w:hAnsi="Times New Roman" w:cs="Times New Roman"/>
        </w:rPr>
        <w:t xml:space="preserve">nte contribuito al lavoro. </w:t>
      </w:r>
    </w:p>
    <w:p w:rsidR="001C0181" w:rsidRDefault="001C0181" w:rsidP="008B75F5">
      <w:pPr>
        <w:spacing w:after="0"/>
        <w:jc w:val="both"/>
        <w:rPr>
          <w:b/>
        </w:rPr>
      </w:pPr>
    </w:p>
    <w:p w:rsidR="00515C53" w:rsidRDefault="00DC1A19" w:rsidP="008B75F5">
      <w:pPr>
        <w:spacing w:after="0"/>
        <w:jc w:val="both"/>
      </w:pPr>
      <w:r>
        <w:rPr>
          <w:b/>
        </w:rPr>
        <w:t xml:space="preserve">Razionale. </w:t>
      </w:r>
      <w:r w:rsidR="00E50835">
        <w:t xml:space="preserve">L’Artrite Idiopatica Giovanile (AIG) è una forma cronica di artrite autoimmune che insorge prima dei 16 anni d’età, rappresentando la più comune patologia reumatologica cronica dell’infanzia. Sebbene l'eziologia dell’AIG sia ancora sconosciuta, sia il braccio dell’immunità innata che quello dell’immunità adattativa sembrano essere coinvolti nella patogenesi della AIG. In particolare, si </w:t>
      </w:r>
      <w:r w:rsidR="00515C53">
        <w:t xml:space="preserve">ritiene </w:t>
      </w:r>
      <w:r w:rsidR="00E50835">
        <w:t xml:space="preserve">che le cellule T </w:t>
      </w:r>
      <w:r w:rsidR="00515C53">
        <w:t>rivestano</w:t>
      </w:r>
      <w:r w:rsidR="00E50835">
        <w:t xml:space="preserve"> un ruolo chiave nello sviluppo della malattia.</w:t>
      </w:r>
    </w:p>
    <w:p w:rsidR="00DC1A19" w:rsidRDefault="00515C53" w:rsidP="008B75F5">
      <w:pPr>
        <w:spacing w:after="0"/>
        <w:jc w:val="both"/>
        <w:rPr>
          <w:b/>
        </w:rPr>
      </w:pPr>
      <w:r w:rsidRPr="00515C53">
        <w:rPr>
          <w:b/>
        </w:rPr>
        <w:t>Obiettivi</w:t>
      </w:r>
      <w:r>
        <w:t>:</w:t>
      </w:r>
      <w:r w:rsidR="00E50835">
        <w:t xml:space="preserve"> </w:t>
      </w:r>
      <w:r>
        <w:t>Lo scopo del nostro studio è analizzare</w:t>
      </w:r>
      <w:r w:rsidR="00E50835">
        <w:t xml:space="preserve"> </w:t>
      </w:r>
      <w:r>
        <w:t>le</w:t>
      </w:r>
      <w:r w:rsidR="00E50835">
        <w:t xml:space="preserve"> </w:t>
      </w:r>
      <w:r>
        <w:t xml:space="preserve">sottopopolazioni di linfociti T, il loro </w:t>
      </w:r>
      <w:r w:rsidR="00E50835">
        <w:t xml:space="preserve">come </w:t>
      </w:r>
      <w:r>
        <w:t>cambiamento</w:t>
      </w:r>
      <w:r w:rsidR="00E50835">
        <w:t xml:space="preserve"> nel tempo ed in risposta alla terapia in una coorte selezionata di pazienti con AIG.</w:t>
      </w:r>
      <w:r w:rsidRPr="00515C53">
        <w:rPr>
          <w:rFonts w:ascii="Times New Roman" w:hAnsi="Times New Roman" w:cs="Times New Roman"/>
        </w:rPr>
        <w:t xml:space="preserve"> </w:t>
      </w:r>
    </w:p>
    <w:p w:rsidR="00D57BEB" w:rsidRDefault="00D57BEB" w:rsidP="008B75F5">
      <w:pPr>
        <w:spacing w:after="0"/>
        <w:jc w:val="both"/>
      </w:pPr>
      <w:r w:rsidRPr="00E137B5">
        <w:rPr>
          <w:b/>
        </w:rPr>
        <w:t>Metodi</w:t>
      </w:r>
      <w:r>
        <w:rPr>
          <w:b/>
        </w:rPr>
        <w:t xml:space="preserve">. </w:t>
      </w:r>
      <w:r w:rsidRPr="00E137B5">
        <w:t xml:space="preserve">109 pazienti </w:t>
      </w:r>
      <w:r>
        <w:t xml:space="preserve">con AIG oligo e </w:t>
      </w:r>
      <w:proofErr w:type="spellStart"/>
      <w:r>
        <w:t>poliarticolare</w:t>
      </w:r>
      <w:proofErr w:type="spellEnd"/>
      <w:r>
        <w:t xml:space="preserve"> sono stati arruolati nello studio. All’arruolamento, è stato eseguito un prelievo venoso per </w:t>
      </w:r>
      <w:r w:rsidR="00F825B7">
        <w:t>l’analisi delle</w:t>
      </w:r>
      <w:r w:rsidR="001C0181">
        <w:t xml:space="preserve"> sot</w:t>
      </w:r>
      <w:r>
        <w:t xml:space="preserve">topopolazioni </w:t>
      </w:r>
      <w:r w:rsidR="001C0181">
        <w:t xml:space="preserve">T cellulari </w:t>
      </w:r>
      <w:r>
        <w:t xml:space="preserve">nel sangue periferico. </w:t>
      </w:r>
      <w:r w:rsidR="006A4B0E">
        <w:t xml:space="preserve">Dopo un anno di follow-up, </w:t>
      </w:r>
      <w:r>
        <w:t xml:space="preserve">54 pazienti </w:t>
      </w:r>
      <w:r w:rsidR="006A4B0E">
        <w:t xml:space="preserve">hanno effettuato un secondo prelievo.  </w:t>
      </w:r>
      <w:r w:rsidR="00F825B7">
        <w:t xml:space="preserve">I dati dei pazienti con AIG sono stati comparati con </w:t>
      </w:r>
      <w:r>
        <w:t>20 controlli adulti sani</w:t>
      </w:r>
      <w:r w:rsidR="00F825B7">
        <w:t xml:space="preserve"> e 10 controlli sani pediatrici. </w:t>
      </w:r>
    </w:p>
    <w:p w:rsidR="00472A2B" w:rsidRDefault="00D57BEB" w:rsidP="008B75F5">
      <w:pPr>
        <w:spacing w:after="0"/>
        <w:jc w:val="both"/>
      </w:pPr>
      <w:r w:rsidRPr="00B01E4E">
        <w:rPr>
          <w:b/>
        </w:rPr>
        <w:t>Risultati</w:t>
      </w:r>
      <w:r>
        <w:rPr>
          <w:b/>
        </w:rPr>
        <w:t xml:space="preserve">. </w:t>
      </w:r>
      <w:r w:rsidR="00F825B7" w:rsidRPr="00F825B7">
        <w:t>Nessuna differenza</w:t>
      </w:r>
      <w:r w:rsidR="00F825B7">
        <w:t xml:space="preserve"> statisticamente significativa </w:t>
      </w:r>
      <w:r w:rsidR="00E23ED9">
        <w:t>nella frequenza delle cellule T CD3</w:t>
      </w:r>
      <w:r w:rsidR="00E23ED9" w:rsidRPr="000D02B9">
        <w:rPr>
          <w:vertAlign w:val="superscript"/>
        </w:rPr>
        <w:t>+</w:t>
      </w:r>
      <w:r w:rsidR="00E23ED9">
        <w:t xml:space="preserve"> totali</w:t>
      </w:r>
      <w:r w:rsidR="007B2BD2">
        <w:t>,</w:t>
      </w:r>
      <w:r w:rsidR="00E23ED9">
        <w:t xml:space="preserve"> T </w:t>
      </w:r>
      <w:proofErr w:type="spellStart"/>
      <w:r w:rsidR="00E23ED9">
        <w:t>helper</w:t>
      </w:r>
      <w:proofErr w:type="spellEnd"/>
      <w:r w:rsidR="00E23ED9">
        <w:t xml:space="preserve"> CD4</w:t>
      </w:r>
      <w:r w:rsidR="00E23ED9" w:rsidRPr="000D02B9">
        <w:rPr>
          <w:vertAlign w:val="superscript"/>
        </w:rPr>
        <w:t>+</w:t>
      </w:r>
      <w:r w:rsidR="007B2BD2">
        <w:t xml:space="preserve">, </w:t>
      </w:r>
      <w:r w:rsidR="00E23ED9">
        <w:t>T citotossiche CD8</w:t>
      </w:r>
      <w:r w:rsidR="00E23ED9" w:rsidRPr="000D02B9">
        <w:rPr>
          <w:vertAlign w:val="superscript"/>
        </w:rPr>
        <w:t>+</w:t>
      </w:r>
      <w:r w:rsidR="00E23ED9">
        <w:t xml:space="preserve"> </w:t>
      </w:r>
      <w:r w:rsidR="007B2BD2">
        <w:t xml:space="preserve">e T </w:t>
      </w:r>
      <w:proofErr w:type="spellStart"/>
      <w:r w:rsidR="007B2BD2">
        <w:t>reg</w:t>
      </w:r>
      <w:proofErr w:type="spellEnd"/>
      <w:r w:rsidR="007B2BD2">
        <w:t xml:space="preserve"> </w:t>
      </w:r>
      <w:r w:rsidR="00472A2B">
        <w:t>si evidenzia</w:t>
      </w:r>
      <w:r w:rsidR="00E23ED9">
        <w:t xml:space="preserve"> </w:t>
      </w:r>
      <w:r w:rsidR="00F825B7">
        <w:t>tra i pazi</w:t>
      </w:r>
      <w:r w:rsidR="00E23ED9">
        <w:t>e</w:t>
      </w:r>
      <w:r w:rsidR="008B75F5">
        <w:t xml:space="preserve">nti con AIG e i controlli sani. </w:t>
      </w:r>
      <w:r w:rsidR="007F1B23">
        <w:t xml:space="preserve">Al contrario, </w:t>
      </w:r>
      <w:r w:rsidR="00046D38">
        <w:t xml:space="preserve">la frequenza delle </w:t>
      </w:r>
      <w:r w:rsidR="007F1B23">
        <w:t>cellule T CD3</w:t>
      </w:r>
      <w:r w:rsidR="007F1B23" w:rsidRPr="000D02B9">
        <w:rPr>
          <w:vertAlign w:val="superscript"/>
        </w:rPr>
        <w:t>+</w:t>
      </w:r>
      <w:r w:rsidR="007F1B23">
        <w:t xml:space="preserve"> CD4</w:t>
      </w:r>
      <w:r w:rsidR="007F1B23" w:rsidRPr="000D02B9">
        <w:rPr>
          <w:vertAlign w:val="superscript"/>
        </w:rPr>
        <w:t>-</w:t>
      </w:r>
      <w:r w:rsidR="007F1B23">
        <w:t>CD8</w:t>
      </w:r>
      <w:r w:rsidR="007F1B23" w:rsidRPr="000D02B9">
        <w:rPr>
          <w:vertAlign w:val="superscript"/>
        </w:rPr>
        <w:t>-</w:t>
      </w:r>
      <w:r w:rsidR="002F1E73">
        <w:rPr>
          <w:vertAlign w:val="superscript"/>
        </w:rPr>
        <w:t xml:space="preserve"> </w:t>
      </w:r>
      <w:r w:rsidR="008B75F5">
        <w:t xml:space="preserve">doppio negative </w:t>
      </w:r>
      <w:r w:rsidR="002F1E73">
        <w:t>(</w:t>
      </w:r>
      <w:proofErr w:type="spellStart"/>
      <w:r w:rsidR="002F1E73">
        <w:t>Tdn</w:t>
      </w:r>
      <w:proofErr w:type="spellEnd"/>
      <w:r w:rsidR="002F1E73">
        <w:t xml:space="preserve">) </w:t>
      </w:r>
      <w:r w:rsidR="000B4DE4">
        <w:t xml:space="preserve">nei pazienti </w:t>
      </w:r>
      <w:r w:rsidR="00046D38">
        <w:t>con AIG risulta</w:t>
      </w:r>
      <w:r w:rsidR="007F1B23">
        <w:t xml:space="preserve"> significativamente più alta </w:t>
      </w:r>
      <w:r w:rsidR="001C0181">
        <w:t>rispetto ai</w:t>
      </w:r>
      <w:r w:rsidR="007F1B23">
        <w:t xml:space="preserve"> controlli sani. </w:t>
      </w:r>
      <w:r w:rsidR="00046D38">
        <w:t xml:space="preserve">Degno di nota, </w:t>
      </w:r>
      <w:r w:rsidR="001E796F">
        <w:t xml:space="preserve">queste cellule </w:t>
      </w:r>
      <w:proofErr w:type="spellStart"/>
      <w:r w:rsidR="002F1E73">
        <w:t>Tdn</w:t>
      </w:r>
      <w:proofErr w:type="spellEnd"/>
      <w:r w:rsidR="002F1E73">
        <w:t xml:space="preserve"> </w:t>
      </w:r>
      <w:r w:rsidR="002F6FB4" w:rsidRPr="00046D38">
        <w:t xml:space="preserve">esprimono il </w:t>
      </w:r>
      <w:proofErr w:type="spellStart"/>
      <w:r w:rsidR="002F6FB4" w:rsidRPr="00046D38">
        <w:t>marker</w:t>
      </w:r>
      <w:proofErr w:type="spellEnd"/>
      <w:r w:rsidR="002F6FB4" w:rsidRPr="00046D38">
        <w:t xml:space="preserve"> CD56, caratteristico delle cellule Natural Killer. </w:t>
      </w:r>
      <w:r w:rsidR="00472A2B">
        <w:t xml:space="preserve">Per quanto riguarda le due popolazioni di cellule </w:t>
      </w:r>
      <w:proofErr w:type="spellStart"/>
      <w:r w:rsidR="00472A2B">
        <w:t>Natural</w:t>
      </w:r>
      <w:proofErr w:type="spellEnd"/>
      <w:r w:rsidR="00472A2B">
        <w:t xml:space="preserve"> Killer, mature CD56</w:t>
      </w:r>
      <w:r w:rsidR="00472A2B" w:rsidRPr="002F6FB4">
        <w:rPr>
          <w:vertAlign w:val="superscript"/>
        </w:rPr>
        <w:t>dim</w:t>
      </w:r>
      <w:r w:rsidR="00472A2B">
        <w:t xml:space="preserve"> e immature CD56</w:t>
      </w:r>
      <w:r w:rsidR="00472A2B" w:rsidRPr="002F6FB4">
        <w:rPr>
          <w:vertAlign w:val="superscript"/>
        </w:rPr>
        <w:t>bright</w:t>
      </w:r>
      <w:r w:rsidR="00472A2B">
        <w:rPr>
          <w:vertAlign w:val="superscript"/>
        </w:rPr>
        <w:t xml:space="preserve">, </w:t>
      </w:r>
      <w:r w:rsidR="00472A2B" w:rsidRPr="00046D38">
        <w:t xml:space="preserve"> </w:t>
      </w:r>
      <w:r w:rsidR="00472A2B">
        <w:t>non si osserva alcuna differenza</w:t>
      </w:r>
      <w:r w:rsidR="001E796F">
        <w:t xml:space="preserve"> tra pazienti con AIG e controlli sani. </w:t>
      </w:r>
    </w:p>
    <w:p w:rsidR="00472A2B" w:rsidRDefault="00472A2B" w:rsidP="008B75F5">
      <w:pPr>
        <w:spacing w:after="0"/>
        <w:jc w:val="both"/>
      </w:pPr>
      <w:r w:rsidRPr="00974967">
        <w:t>Considerando lo stato di malattia,</w:t>
      </w:r>
      <w:r>
        <w:t xml:space="preserve"> l</w:t>
      </w:r>
      <w:r w:rsidR="004018BA">
        <w:t xml:space="preserve">e cellule </w:t>
      </w:r>
      <w:proofErr w:type="spellStart"/>
      <w:r w:rsidR="002F1E73">
        <w:t>Tdn</w:t>
      </w:r>
      <w:proofErr w:type="spellEnd"/>
      <w:r w:rsidR="002F1E73">
        <w:t xml:space="preserve"> </w:t>
      </w:r>
      <w:r>
        <w:t>risultano</w:t>
      </w:r>
      <w:r w:rsidR="004018BA">
        <w:t xml:space="preserve"> significativamente espanse nei pazienti con AIG in fase di remissione</w:t>
      </w:r>
      <w:r>
        <w:t xml:space="preserve"> mentre non sembrano correlare con i</w:t>
      </w:r>
      <w:r w:rsidR="004018BA">
        <w:t xml:space="preserve">l tipo di </w:t>
      </w:r>
      <w:r w:rsidR="001C0181">
        <w:t>trattamento</w:t>
      </w:r>
      <w:r>
        <w:t xml:space="preserve"> utilizzato.</w:t>
      </w:r>
    </w:p>
    <w:p w:rsidR="00D57BEB" w:rsidRPr="00D57BEB" w:rsidRDefault="002F1E73" w:rsidP="008B75F5">
      <w:pPr>
        <w:spacing w:after="0"/>
        <w:jc w:val="both"/>
      </w:pPr>
      <w:r>
        <w:t>P</w:t>
      </w:r>
      <w:r w:rsidR="004018BA">
        <w:t xml:space="preserve">er valutare </w:t>
      </w:r>
      <w:r>
        <w:t xml:space="preserve">l’andamento delle cellule </w:t>
      </w:r>
      <w:proofErr w:type="spellStart"/>
      <w:r>
        <w:t>Tdn</w:t>
      </w:r>
      <w:proofErr w:type="spellEnd"/>
      <w:r>
        <w:t xml:space="preserve"> nel tempo in relazione all’attività di malattia, </w:t>
      </w:r>
      <w:r w:rsidR="004018BA">
        <w:t xml:space="preserve">abbiamo </w:t>
      </w:r>
      <w:r>
        <w:t>analizzato</w:t>
      </w:r>
      <w:r w:rsidR="004018BA">
        <w:t xml:space="preserve"> 54 pazienti </w:t>
      </w:r>
      <w:r>
        <w:t xml:space="preserve">dopo un anno di follow-up. </w:t>
      </w:r>
      <w:r w:rsidR="004018BA">
        <w:t>Nei</w:t>
      </w:r>
      <w:r w:rsidR="00260C9D">
        <w:t xml:space="preserve"> pazienti in remissione che hanno mantenuto lo stato di remissione e nei pazienti in fase attiva che hanno presentato diverse riacutizzazioni di malattia durante il follow-up, le cellule </w:t>
      </w:r>
      <w:proofErr w:type="spellStart"/>
      <w:r>
        <w:t>Tdn</w:t>
      </w:r>
      <w:proofErr w:type="spellEnd"/>
      <w:r>
        <w:t xml:space="preserve"> </w:t>
      </w:r>
      <w:r w:rsidR="00260C9D">
        <w:t>non hanno subito variazioni significative tra i due prelievi. Al contrario, nei pazienti con malattia attiva che hanno</w:t>
      </w:r>
      <w:r w:rsidR="001C0181">
        <w:t xml:space="preserve"> successivamente</w:t>
      </w:r>
      <w:r w:rsidR="00260C9D">
        <w:t xml:space="preserve"> raggiunto lo stato di remissione, il numero di cellule </w:t>
      </w:r>
      <w:proofErr w:type="spellStart"/>
      <w:r>
        <w:t>Tdn</w:t>
      </w:r>
      <w:proofErr w:type="spellEnd"/>
      <w:r w:rsidR="00260C9D">
        <w:t xml:space="preserve"> </w:t>
      </w:r>
      <w:r>
        <w:t xml:space="preserve">appare  significativamente aumentato </w:t>
      </w:r>
      <w:r w:rsidR="00260C9D">
        <w:t>durante il periodo di follow-up</w:t>
      </w:r>
      <w:r w:rsidR="00874E56">
        <w:t xml:space="preserve"> (</w:t>
      </w:r>
      <w:r w:rsidR="00D7007D">
        <w:t>rispettivamente 12.5% vs 16.1%</w:t>
      </w:r>
      <w:r w:rsidR="00874E56">
        <w:t>, p</w:t>
      </w:r>
      <w:r w:rsidR="00D7007D">
        <w:t>=0.02</w:t>
      </w:r>
      <w:r w:rsidR="00874E56">
        <w:t>)</w:t>
      </w:r>
      <w:r w:rsidR="00260C9D">
        <w:t xml:space="preserve">. </w:t>
      </w:r>
      <w:r w:rsidR="00992A7F">
        <w:t xml:space="preserve">Infine, nei pazienti in remissione in cui si è assistito ad una riacutizzazione </w:t>
      </w:r>
      <w:r w:rsidR="00992A7F">
        <w:lastRenderedPageBreak/>
        <w:t xml:space="preserve">della malattia, la frequenza delle cellule </w:t>
      </w:r>
      <w:proofErr w:type="spellStart"/>
      <w:r>
        <w:t>Tdn</w:t>
      </w:r>
      <w:proofErr w:type="spellEnd"/>
      <w:r>
        <w:t xml:space="preserve"> </w:t>
      </w:r>
      <w:r w:rsidR="00992A7F">
        <w:t>si è ridotta nel tempo, tuttavia la differenza non ha raggiunto la significatività statistica</w:t>
      </w:r>
      <w:r w:rsidR="00D7007D">
        <w:t xml:space="preserve"> (rispettivamente 16.3% vs 12.7%, p=0.08)</w:t>
      </w:r>
      <w:r w:rsidR="00992A7F">
        <w:t>.</w:t>
      </w:r>
    </w:p>
    <w:p w:rsidR="00D57BEB" w:rsidRPr="00992A7F" w:rsidRDefault="00D57BEB" w:rsidP="008B75F5">
      <w:pPr>
        <w:spacing w:after="0"/>
        <w:jc w:val="both"/>
      </w:pPr>
      <w:r w:rsidRPr="00617CEE">
        <w:rPr>
          <w:b/>
        </w:rPr>
        <w:t>Conclusioni</w:t>
      </w:r>
      <w:r>
        <w:rPr>
          <w:b/>
        </w:rPr>
        <w:t xml:space="preserve">. </w:t>
      </w:r>
      <w:r w:rsidR="00992A7F">
        <w:t xml:space="preserve">Nei pazienti con AIG </w:t>
      </w:r>
      <w:proofErr w:type="spellStart"/>
      <w:r w:rsidR="00992A7F">
        <w:t>oligoarticolare</w:t>
      </w:r>
      <w:proofErr w:type="spellEnd"/>
      <w:r w:rsidR="00992A7F">
        <w:t xml:space="preserve"> e </w:t>
      </w:r>
      <w:proofErr w:type="spellStart"/>
      <w:r w:rsidR="00992A7F">
        <w:t>poliarticolare</w:t>
      </w:r>
      <w:proofErr w:type="spellEnd"/>
      <w:r w:rsidR="002F1E73">
        <w:t xml:space="preserve"> </w:t>
      </w:r>
      <w:r w:rsidR="000A45B7">
        <w:t>le</w:t>
      </w:r>
      <w:r w:rsidR="00877CB2">
        <w:t xml:space="preserve"> cellule </w:t>
      </w:r>
      <w:proofErr w:type="spellStart"/>
      <w:r w:rsidR="002F1E73">
        <w:t>Tdn</w:t>
      </w:r>
      <w:proofErr w:type="spellEnd"/>
      <w:r w:rsidR="00992A7F">
        <w:t xml:space="preserve"> sono espanse</w:t>
      </w:r>
      <w:r w:rsidR="000D02B9">
        <w:t xml:space="preserve"> rispetto ai controlli sani</w:t>
      </w:r>
      <w:r w:rsidR="00992A7F">
        <w:t>. L</w:t>
      </w:r>
      <w:r w:rsidR="002F1E73">
        <w:t>’incremento delle</w:t>
      </w:r>
      <w:r w:rsidR="00992A7F">
        <w:t xml:space="preserve"> cellule </w:t>
      </w:r>
      <w:proofErr w:type="spellStart"/>
      <w:r w:rsidR="002F1E73">
        <w:t>Tdn</w:t>
      </w:r>
      <w:proofErr w:type="spellEnd"/>
      <w:r w:rsidR="002F1E73">
        <w:t xml:space="preserve"> </w:t>
      </w:r>
      <w:r w:rsidR="000D02B9">
        <w:t xml:space="preserve">nel sangue periferico </w:t>
      </w:r>
      <w:r w:rsidR="00992A7F">
        <w:t>è significativo nei pazienti che rispondono al trattamento raggiungendo l</w:t>
      </w:r>
      <w:r w:rsidR="000D02B9">
        <w:t>o stato di remissione clinica</w:t>
      </w:r>
      <w:r w:rsidR="002F1E73">
        <w:t>. Al contrario risultano  ridotte</w:t>
      </w:r>
      <w:r w:rsidR="000D02B9">
        <w:t xml:space="preserve"> </w:t>
      </w:r>
      <w:r w:rsidR="002F1E73">
        <w:t xml:space="preserve">nei </w:t>
      </w:r>
      <w:r w:rsidR="000D02B9">
        <w:t xml:space="preserve"> pazienti che presentano riacutizzazioni della malattia. Ulteriori studi </w:t>
      </w:r>
      <w:r w:rsidR="002F1E73">
        <w:t xml:space="preserve">sono necessari per </w:t>
      </w:r>
      <w:r w:rsidR="008B75F5">
        <w:t>indagare</w:t>
      </w:r>
      <w:r w:rsidR="000D02B9">
        <w:t xml:space="preserve"> </w:t>
      </w:r>
      <w:r w:rsidR="002F1E73">
        <w:t>l’ev</w:t>
      </w:r>
      <w:r w:rsidR="008B75F5">
        <w:t xml:space="preserve">entuale </w:t>
      </w:r>
      <w:r w:rsidR="000D02B9">
        <w:t xml:space="preserve">utilizzo delle cellule </w:t>
      </w:r>
      <w:proofErr w:type="spellStart"/>
      <w:r w:rsidR="008B75F5">
        <w:t>Tdn</w:t>
      </w:r>
      <w:proofErr w:type="spellEnd"/>
      <w:r w:rsidR="008B75F5">
        <w:t xml:space="preserve"> nella pratica clinica, come </w:t>
      </w:r>
      <w:proofErr w:type="spellStart"/>
      <w:r w:rsidR="008B75F5">
        <w:t>biomarcatori</w:t>
      </w:r>
      <w:proofErr w:type="spellEnd"/>
      <w:r w:rsidR="000D02B9">
        <w:t xml:space="preserve"> </w:t>
      </w:r>
      <w:r w:rsidR="008B75F5">
        <w:t>di</w:t>
      </w:r>
      <w:r w:rsidR="000D02B9">
        <w:t xml:space="preserve"> risposta al trattamento nei pazienti con AIG.</w:t>
      </w:r>
    </w:p>
    <w:p w:rsidR="001A6DAD" w:rsidRDefault="001A6DAD"/>
    <w:p w:rsidR="00D7007D" w:rsidRDefault="00D7007D"/>
    <w:p w:rsidR="00D7007D" w:rsidRDefault="00D7007D"/>
    <w:tbl>
      <w:tblPr>
        <w:tblStyle w:val="Grigliatabella"/>
        <w:tblW w:w="7002" w:type="dxa"/>
        <w:tblLook w:val="04A0"/>
      </w:tblPr>
      <w:tblGrid>
        <w:gridCol w:w="2808"/>
        <w:gridCol w:w="1404"/>
        <w:gridCol w:w="1494"/>
        <w:gridCol w:w="1296"/>
      </w:tblGrid>
      <w:tr w:rsidR="00D7007D" w:rsidTr="00D7007D">
        <w:tc>
          <w:tcPr>
            <w:tcW w:w="2808" w:type="dxa"/>
          </w:tcPr>
          <w:p w:rsidR="00D7007D" w:rsidRDefault="00D7007D">
            <w:r>
              <w:t>Popolazioni</w:t>
            </w:r>
          </w:p>
        </w:tc>
        <w:tc>
          <w:tcPr>
            <w:tcW w:w="1404" w:type="dxa"/>
          </w:tcPr>
          <w:p w:rsidR="00D7007D" w:rsidRDefault="00D7007D">
            <w:r>
              <w:t>Controlli</w:t>
            </w:r>
          </w:p>
        </w:tc>
        <w:tc>
          <w:tcPr>
            <w:tcW w:w="1494" w:type="dxa"/>
          </w:tcPr>
          <w:p w:rsidR="00D7007D" w:rsidRDefault="00D7007D">
            <w:r>
              <w:t>AIG</w:t>
            </w:r>
          </w:p>
        </w:tc>
        <w:tc>
          <w:tcPr>
            <w:tcW w:w="1296" w:type="dxa"/>
          </w:tcPr>
          <w:p w:rsidR="00D7007D" w:rsidRDefault="00D7007D">
            <w:r>
              <w:t>P</w:t>
            </w:r>
            <w:r w:rsidR="00D73698">
              <w:t>.</w:t>
            </w:r>
            <w:r>
              <w:t xml:space="preserve"> </w:t>
            </w:r>
            <w:proofErr w:type="spellStart"/>
            <w:r>
              <w:t>value</w:t>
            </w:r>
            <w:proofErr w:type="spellEnd"/>
          </w:p>
        </w:tc>
      </w:tr>
      <w:tr w:rsidR="00D7007D" w:rsidTr="00D7007D">
        <w:tc>
          <w:tcPr>
            <w:tcW w:w="2808" w:type="dxa"/>
          </w:tcPr>
          <w:p w:rsidR="00D7007D" w:rsidRDefault="00D7007D">
            <w:r>
              <w:t>Cellule T CD3 (%</w:t>
            </w:r>
            <w:r>
              <w:sym w:font="Symbol" w:char="F0B1"/>
            </w:r>
            <w:r>
              <w:t>S.D.)</w:t>
            </w:r>
          </w:p>
        </w:tc>
        <w:tc>
          <w:tcPr>
            <w:tcW w:w="1404" w:type="dxa"/>
          </w:tcPr>
          <w:p w:rsidR="00D7007D" w:rsidRDefault="00D7007D">
            <w:r>
              <w:t>79.1</w:t>
            </w:r>
            <w:r>
              <w:sym w:font="Symbol" w:char="F0B1"/>
            </w:r>
            <w:r>
              <w:t>14</w:t>
            </w:r>
          </w:p>
        </w:tc>
        <w:tc>
          <w:tcPr>
            <w:tcW w:w="1494" w:type="dxa"/>
          </w:tcPr>
          <w:p w:rsidR="00D7007D" w:rsidRDefault="00D7007D">
            <w:r>
              <w:t>79</w:t>
            </w:r>
            <w:r>
              <w:sym w:font="Symbol" w:char="F0B1"/>
            </w:r>
            <w:r>
              <w:t>8</w:t>
            </w:r>
          </w:p>
        </w:tc>
        <w:tc>
          <w:tcPr>
            <w:tcW w:w="1296" w:type="dxa"/>
          </w:tcPr>
          <w:p w:rsidR="00D7007D" w:rsidRDefault="00D7007D">
            <w:r>
              <w:t>0.73</w:t>
            </w:r>
          </w:p>
        </w:tc>
      </w:tr>
      <w:tr w:rsidR="00D7007D" w:rsidTr="00D7007D">
        <w:tc>
          <w:tcPr>
            <w:tcW w:w="2808" w:type="dxa"/>
          </w:tcPr>
          <w:p w:rsidR="00D7007D" w:rsidRDefault="00D7007D">
            <w:r>
              <w:t>Cellule T CD4 (%</w:t>
            </w:r>
            <w:r>
              <w:sym w:font="Symbol" w:char="F0B1"/>
            </w:r>
            <w:r>
              <w:t>S.D.)</w:t>
            </w:r>
          </w:p>
        </w:tc>
        <w:tc>
          <w:tcPr>
            <w:tcW w:w="1404" w:type="dxa"/>
          </w:tcPr>
          <w:p w:rsidR="00D7007D" w:rsidRDefault="00D7007D">
            <w:r>
              <w:t xml:space="preserve">55.9 </w:t>
            </w:r>
            <w:r>
              <w:sym w:font="Symbol" w:char="F0B1"/>
            </w:r>
            <w:r>
              <w:t>17</w:t>
            </w:r>
          </w:p>
        </w:tc>
        <w:tc>
          <w:tcPr>
            <w:tcW w:w="1494" w:type="dxa"/>
          </w:tcPr>
          <w:p w:rsidR="00D7007D" w:rsidRDefault="00D7007D">
            <w:r>
              <w:t xml:space="preserve">51.7 </w:t>
            </w:r>
            <w:r>
              <w:sym w:font="Symbol" w:char="F0B1"/>
            </w:r>
            <w:r>
              <w:t>13</w:t>
            </w:r>
          </w:p>
        </w:tc>
        <w:tc>
          <w:tcPr>
            <w:tcW w:w="1296" w:type="dxa"/>
          </w:tcPr>
          <w:p w:rsidR="00D7007D" w:rsidRDefault="00D7007D">
            <w:r>
              <w:t>0.31</w:t>
            </w:r>
          </w:p>
        </w:tc>
      </w:tr>
      <w:tr w:rsidR="00D7007D" w:rsidTr="00D7007D">
        <w:tc>
          <w:tcPr>
            <w:tcW w:w="2808" w:type="dxa"/>
          </w:tcPr>
          <w:p w:rsidR="00D7007D" w:rsidRDefault="00D7007D">
            <w:r>
              <w:t>Cellule T CD8 (%</w:t>
            </w:r>
            <w:r>
              <w:sym w:font="Symbol" w:char="F0B1"/>
            </w:r>
            <w:r>
              <w:t>S.D.)</w:t>
            </w:r>
          </w:p>
        </w:tc>
        <w:tc>
          <w:tcPr>
            <w:tcW w:w="1404" w:type="dxa"/>
          </w:tcPr>
          <w:p w:rsidR="00D7007D" w:rsidRDefault="00D7007D">
            <w:r>
              <w:t xml:space="preserve">32.1 </w:t>
            </w:r>
            <w:r>
              <w:sym w:font="Symbol" w:char="F0B1"/>
            </w:r>
            <w:r>
              <w:t>11</w:t>
            </w:r>
          </w:p>
        </w:tc>
        <w:tc>
          <w:tcPr>
            <w:tcW w:w="1494" w:type="dxa"/>
          </w:tcPr>
          <w:p w:rsidR="00D7007D" w:rsidRDefault="00D7007D">
            <w:r>
              <w:t xml:space="preserve">31.5 </w:t>
            </w:r>
            <w:r>
              <w:sym w:font="Symbol" w:char="F0B1"/>
            </w:r>
            <w:r>
              <w:t>9</w:t>
            </w:r>
          </w:p>
        </w:tc>
        <w:tc>
          <w:tcPr>
            <w:tcW w:w="1296" w:type="dxa"/>
          </w:tcPr>
          <w:p w:rsidR="00D7007D" w:rsidRDefault="00D7007D">
            <w:r>
              <w:t>0.57</w:t>
            </w:r>
          </w:p>
        </w:tc>
      </w:tr>
      <w:tr w:rsidR="00D7007D" w:rsidTr="00D7007D">
        <w:tc>
          <w:tcPr>
            <w:tcW w:w="2808" w:type="dxa"/>
          </w:tcPr>
          <w:p w:rsidR="00D7007D" w:rsidRDefault="00D7007D">
            <w:r>
              <w:t xml:space="preserve">Cellule </w:t>
            </w:r>
            <w:proofErr w:type="spellStart"/>
            <w:r>
              <w:t>Treg</w:t>
            </w:r>
            <w:proofErr w:type="spellEnd"/>
            <w:r>
              <w:t>(%</w:t>
            </w:r>
            <w:r>
              <w:sym w:font="Symbol" w:char="F0B1"/>
            </w:r>
            <w:r>
              <w:t>S.D.)</w:t>
            </w:r>
          </w:p>
        </w:tc>
        <w:tc>
          <w:tcPr>
            <w:tcW w:w="1404" w:type="dxa"/>
          </w:tcPr>
          <w:p w:rsidR="00D7007D" w:rsidRDefault="00D7007D">
            <w:r>
              <w:t xml:space="preserve">5.5 </w:t>
            </w:r>
            <w:r>
              <w:sym w:font="Symbol" w:char="F0B1"/>
            </w:r>
            <w:r>
              <w:t>1.8</w:t>
            </w:r>
          </w:p>
        </w:tc>
        <w:tc>
          <w:tcPr>
            <w:tcW w:w="1494" w:type="dxa"/>
          </w:tcPr>
          <w:p w:rsidR="00D7007D" w:rsidRDefault="00D7007D">
            <w:r>
              <w:t>5.7</w:t>
            </w:r>
            <w:r>
              <w:sym w:font="Symbol" w:char="F0B1"/>
            </w:r>
            <w:r>
              <w:t>2.17</w:t>
            </w:r>
          </w:p>
        </w:tc>
        <w:tc>
          <w:tcPr>
            <w:tcW w:w="1296" w:type="dxa"/>
          </w:tcPr>
          <w:p w:rsidR="00D7007D" w:rsidRDefault="00D7007D">
            <w:r>
              <w:t>0.57</w:t>
            </w:r>
          </w:p>
        </w:tc>
      </w:tr>
      <w:tr w:rsidR="00D7007D" w:rsidTr="00D7007D">
        <w:tc>
          <w:tcPr>
            <w:tcW w:w="2808" w:type="dxa"/>
          </w:tcPr>
          <w:p w:rsidR="00D7007D" w:rsidRDefault="00D7007D">
            <w:r>
              <w:t>Cellule T doppio negative</w:t>
            </w:r>
            <w:r w:rsidR="00DA1EDC">
              <w:t>(%</w:t>
            </w:r>
            <w:r w:rsidR="00DA1EDC">
              <w:sym w:font="Symbol" w:char="F0B1"/>
            </w:r>
            <w:r w:rsidR="00DA1EDC">
              <w:t>S.D.)</w:t>
            </w:r>
            <w:bookmarkStart w:id="0" w:name="_GoBack"/>
            <w:bookmarkEnd w:id="0"/>
          </w:p>
        </w:tc>
        <w:tc>
          <w:tcPr>
            <w:tcW w:w="1404" w:type="dxa"/>
          </w:tcPr>
          <w:p w:rsidR="00D7007D" w:rsidRDefault="00D7007D">
            <w:r>
              <w:t xml:space="preserve">6.6 </w:t>
            </w:r>
            <w:r>
              <w:sym w:font="Symbol" w:char="F0B1"/>
            </w:r>
            <w:r w:rsidR="008C2C8E">
              <w:t>6</w:t>
            </w:r>
          </w:p>
        </w:tc>
        <w:tc>
          <w:tcPr>
            <w:tcW w:w="1494" w:type="dxa"/>
          </w:tcPr>
          <w:p w:rsidR="00D7007D" w:rsidRDefault="008C2C8E">
            <w:r>
              <w:t xml:space="preserve">13.7 </w:t>
            </w:r>
            <w:r>
              <w:sym w:font="Symbol" w:char="F0B1"/>
            </w:r>
            <w:r>
              <w:t>9</w:t>
            </w:r>
          </w:p>
        </w:tc>
        <w:tc>
          <w:tcPr>
            <w:tcW w:w="1296" w:type="dxa"/>
          </w:tcPr>
          <w:p w:rsidR="00D7007D" w:rsidRPr="00D7007D" w:rsidRDefault="00D7007D">
            <w:pPr>
              <w:rPr>
                <w:i/>
              </w:rPr>
            </w:pPr>
            <w:r w:rsidRPr="00D7007D">
              <w:rPr>
                <w:i/>
              </w:rPr>
              <w:t>0.0003</w:t>
            </w:r>
          </w:p>
        </w:tc>
      </w:tr>
      <w:tr w:rsidR="00D7007D" w:rsidTr="00D7007D">
        <w:tc>
          <w:tcPr>
            <w:tcW w:w="2808" w:type="dxa"/>
          </w:tcPr>
          <w:p w:rsidR="00D7007D" w:rsidRDefault="00D7007D">
            <w:r>
              <w:t>Cellule NK CD56dim (%</w:t>
            </w:r>
            <w:r>
              <w:sym w:font="Symbol" w:char="F0B1"/>
            </w:r>
            <w:r>
              <w:t>S.D.)</w:t>
            </w:r>
          </w:p>
        </w:tc>
        <w:tc>
          <w:tcPr>
            <w:tcW w:w="1404" w:type="dxa"/>
          </w:tcPr>
          <w:p w:rsidR="00D7007D" w:rsidRDefault="00211675">
            <w:r>
              <w:t xml:space="preserve">8.7 </w:t>
            </w:r>
            <w:r>
              <w:sym w:font="Symbol" w:char="F0B1"/>
            </w:r>
            <w:r>
              <w:t>7</w:t>
            </w:r>
          </w:p>
        </w:tc>
        <w:tc>
          <w:tcPr>
            <w:tcW w:w="1494" w:type="dxa"/>
          </w:tcPr>
          <w:p w:rsidR="00D7007D" w:rsidRDefault="00211675">
            <w:r>
              <w:t xml:space="preserve">10.2 </w:t>
            </w:r>
            <w:r>
              <w:sym w:font="Symbol" w:char="F0B1"/>
            </w:r>
            <w:r>
              <w:t>6</w:t>
            </w:r>
          </w:p>
        </w:tc>
        <w:tc>
          <w:tcPr>
            <w:tcW w:w="1296" w:type="dxa"/>
          </w:tcPr>
          <w:p w:rsidR="00D7007D" w:rsidRDefault="00211675">
            <w:r>
              <w:t>0.61</w:t>
            </w:r>
          </w:p>
        </w:tc>
      </w:tr>
      <w:tr w:rsidR="00D7007D" w:rsidTr="00D7007D">
        <w:tc>
          <w:tcPr>
            <w:tcW w:w="2808" w:type="dxa"/>
          </w:tcPr>
          <w:p w:rsidR="00D7007D" w:rsidRPr="001C0181" w:rsidRDefault="00D7007D" w:rsidP="00D7007D">
            <w:pPr>
              <w:ind w:right="-108"/>
              <w:rPr>
                <w:lang w:val="en-US"/>
              </w:rPr>
            </w:pPr>
            <w:r w:rsidRPr="001C0181">
              <w:rPr>
                <w:lang w:val="en-US"/>
              </w:rPr>
              <w:t>Cellule NK CD56bright (%</w:t>
            </w:r>
            <w:r>
              <w:sym w:font="Symbol" w:char="F0B1"/>
            </w:r>
            <w:r w:rsidRPr="001C0181">
              <w:rPr>
                <w:lang w:val="en-US"/>
              </w:rPr>
              <w:t>S.D.)</w:t>
            </w:r>
          </w:p>
        </w:tc>
        <w:tc>
          <w:tcPr>
            <w:tcW w:w="1404" w:type="dxa"/>
          </w:tcPr>
          <w:p w:rsidR="00D7007D" w:rsidRDefault="00211675">
            <w:r>
              <w:t xml:space="preserve">1.2 </w:t>
            </w:r>
            <w:r>
              <w:sym w:font="Symbol" w:char="F0B1"/>
            </w:r>
            <w:r>
              <w:t>1.5</w:t>
            </w:r>
          </w:p>
        </w:tc>
        <w:tc>
          <w:tcPr>
            <w:tcW w:w="1494" w:type="dxa"/>
          </w:tcPr>
          <w:p w:rsidR="00D7007D" w:rsidRDefault="00211675">
            <w:r>
              <w:t xml:space="preserve">1.2 </w:t>
            </w:r>
            <w:r>
              <w:sym w:font="Symbol" w:char="F0B1"/>
            </w:r>
            <w:r>
              <w:t>0.8</w:t>
            </w:r>
          </w:p>
        </w:tc>
        <w:tc>
          <w:tcPr>
            <w:tcW w:w="1296" w:type="dxa"/>
          </w:tcPr>
          <w:p w:rsidR="00D7007D" w:rsidRDefault="00211675">
            <w:r>
              <w:t>0.92</w:t>
            </w:r>
          </w:p>
        </w:tc>
      </w:tr>
    </w:tbl>
    <w:p w:rsidR="00D7007D" w:rsidRDefault="00D7007D"/>
    <w:sectPr w:rsidR="00D7007D" w:rsidSect="007E3F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compat>
    <w:useFELayout/>
  </w:compat>
  <w:rsids>
    <w:rsidRoot w:val="00D57BEB"/>
    <w:rsid w:val="00046D38"/>
    <w:rsid w:val="000A45B7"/>
    <w:rsid w:val="000B4DE4"/>
    <w:rsid w:val="000D02B9"/>
    <w:rsid w:val="00127A36"/>
    <w:rsid w:val="001A6DAD"/>
    <w:rsid w:val="001C0181"/>
    <w:rsid w:val="001E796F"/>
    <w:rsid w:val="001F54ED"/>
    <w:rsid w:val="00211675"/>
    <w:rsid w:val="002255E5"/>
    <w:rsid w:val="00260C9D"/>
    <w:rsid w:val="002F1E73"/>
    <w:rsid w:val="002F6E47"/>
    <w:rsid w:val="002F6FB4"/>
    <w:rsid w:val="004018BA"/>
    <w:rsid w:val="00462C1E"/>
    <w:rsid w:val="00472A2B"/>
    <w:rsid w:val="00515C53"/>
    <w:rsid w:val="006A4B0E"/>
    <w:rsid w:val="007B2BD2"/>
    <w:rsid w:val="007B331A"/>
    <w:rsid w:val="007E3FE7"/>
    <w:rsid w:val="007F1B23"/>
    <w:rsid w:val="00874E56"/>
    <w:rsid w:val="00877CB2"/>
    <w:rsid w:val="008A3C59"/>
    <w:rsid w:val="008B75F5"/>
    <w:rsid w:val="008C2C8E"/>
    <w:rsid w:val="00974967"/>
    <w:rsid w:val="00992A7F"/>
    <w:rsid w:val="00D57BEB"/>
    <w:rsid w:val="00D7007D"/>
    <w:rsid w:val="00D73698"/>
    <w:rsid w:val="00DA1EDC"/>
    <w:rsid w:val="00DC1A19"/>
    <w:rsid w:val="00DC3ABE"/>
    <w:rsid w:val="00E23ED9"/>
    <w:rsid w:val="00E50835"/>
    <w:rsid w:val="00EC18E3"/>
    <w:rsid w:val="00F825B7"/>
    <w:rsid w:val="00F956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BEB"/>
    <w:pPr>
      <w:spacing w:after="200" w:line="276" w:lineRule="auto"/>
    </w:pPr>
    <w:rPr>
      <w:rFonts w:eastAsiaTheme="minorHAnsi"/>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70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EB"/>
    <w:pPr>
      <w:spacing w:after="200" w:line="276" w:lineRule="auto"/>
    </w:pPr>
    <w:rPr>
      <w:rFonts w:eastAsiaTheme="minorHAnsi"/>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FIMR</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Francesco</cp:lastModifiedBy>
  <cp:revision>6</cp:revision>
  <dcterms:created xsi:type="dcterms:W3CDTF">2017-03-08T08:45:00Z</dcterms:created>
  <dcterms:modified xsi:type="dcterms:W3CDTF">2017-07-25T17:17:00Z</dcterms:modified>
</cp:coreProperties>
</file>